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charts/chart1.xml" ContentType="application/vnd.openxmlformats-officedocument.drawingml.chart+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50A" w:rsidRDefault="0088150A" w:rsidP="00926083">
      <w:pPr>
        <w:pStyle w:val="Title"/>
      </w:pPr>
      <w:bookmarkStart w:id="0" w:name="_GoBack"/>
      <w:bookmarkEnd w:id="0"/>
      <w:r>
        <w:t>Strategy to Prevent and Minimise Gambling Harm</w:t>
      </w:r>
    </w:p>
    <w:p w:rsidR="00C86248" w:rsidRPr="00926083" w:rsidRDefault="0088150A" w:rsidP="0088150A">
      <w:pPr>
        <w:pStyle w:val="Year"/>
      </w:pPr>
      <w:r>
        <w:t>2019/20 to 2021/22</w:t>
      </w:r>
    </w:p>
    <w:p w:rsidR="00C05132" w:rsidRPr="00C05132" w:rsidRDefault="00C05132" w:rsidP="00926083">
      <w:pPr>
        <w:pStyle w:val="Subhead"/>
      </w:pPr>
    </w:p>
    <w:p w:rsidR="00C05132" w:rsidRDefault="00C05132" w:rsidP="00A06BE4"/>
    <w:p w:rsidR="00142954" w:rsidRPr="00142954" w:rsidRDefault="00142954" w:rsidP="00142954">
      <w:pPr>
        <w:sectPr w:rsidR="00142954" w:rsidRPr="00142954" w:rsidSect="007A2C74">
          <w:headerReference w:type="default" r:id="rId8"/>
          <w:footerReference w:type="default" r:id="rId9"/>
          <w:pgSz w:w="11907" w:h="16834" w:code="9"/>
          <w:pgMar w:top="5670" w:right="1134" w:bottom="1134" w:left="1134" w:header="567" w:footer="851" w:gutter="0"/>
          <w:pgNumType w:start="1"/>
          <w:cols w:space="720"/>
        </w:sectPr>
      </w:pPr>
    </w:p>
    <w:p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88150A">
        <w:rPr>
          <w:rFonts w:cs="Segoe UI"/>
        </w:rPr>
        <w:t>201</w:t>
      </w:r>
      <w:r w:rsidR="00E62F14">
        <w:rPr>
          <w:rFonts w:cs="Segoe UI"/>
        </w:rPr>
        <w:t>9</w:t>
      </w:r>
      <w:r w:rsidR="00442C1C" w:rsidRPr="00C05132">
        <w:rPr>
          <w:rFonts w:cs="Segoe UI"/>
        </w:rPr>
        <w:t xml:space="preserve">. </w:t>
      </w:r>
      <w:r w:rsidR="0088150A">
        <w:rPr>
          <w:rFonts w:cs="Segoe UI"/>
          <w:i/>
        </w:rPr>
        <w:t>Strategy to Prevent and Minimise Gambling Harm 2019/20 to 2021/22</w:t>
      </w:r>
      <w:r w:rsidR="00442C1C" w:rsidRPr="00C05132">
        <w:rPr>
          <w:rFonts w:cs="Segoe UI"/>
        </w:rPr>
        <w:t>. Wellington: Ministry of Health.</w:t>
      </w:r>
    </w:p>
    <w:p w:rsidR="00C86248" w:rsidRDefault="00C86248">
      <w:pPr>
        <w:pStyle w:val="Imprint"/>
      </w:pPr>
      <w:r>
        <w:t xml:space="preserve">Published in </w:t>
      </w:r>
      <w:r w:rsidR="007875DD">
        <w:t>June</w:t>
      </w:r>
      <w:r w:rsidR="00D839FD" w:rsidRPr="00F52B18">
        <w:t xml:space="preserve"> </w:t>
      </w:r>
      <w:r w:rsidR="000B2377" w:rsidRPr="00F52B18">
        <w:t xml:space="preserve">2019 </w:t>
      </w:r>
      <w:r w:rsidRPr="00F52B18">
        <w:t>by</w:t>
      </w:r>
      <w:r>
        <w:t xml:space="preserve"> the</w:t>
      </w:r>
      <w:r w:rsidR="00442C1C">
        <w:t xml:space="preserve"> </w:t>
      </w:r>
      <w:r>
        <w:t>Ministry of Health</w:t>
      </w:r>
      <w:r>
        <w:br/>
        <w:t>PO Box 5013, Wellington</w:t>
      </w:r>
      <w:r w:rsidR="00A80363">
        <w:t xml:space="preserve"> 614</w:t>
      </w:r>
      <w:r w:rsidR="006041F0">
        <w:t>0</w:t>
      </w:r>
      <w:r>
        <w:t xml:space="preserve">, </w:t>
      </w:r>
      <w:r w:rsidR="00571223">
        <w:t>New Zealand</w:t>
      </w:r>
    </w:p>
    <w:p w:rsidR="00082CD6" w:rsidRPr="009C0F2D" w:rsidRDefault="008B33E8" w:rsidP="00082CD6">
      <w:pPr>
        <w:pStyle w:val="Imprint"/>
      </w:pPr>
      <w:r>
        <w:t xml:space="preserve">ISBN </w:t>
      </w:r>
      <w:r w:rsidRPr="008B33E8">
        <w:t>978-1-98-856888-1</w:t>
      </w:r>
      <w:r>
        <w:t xml:space="preserve"> (print)</w:t>
      </w:r>
      <w:r>
        <w:br/>
      </w:r>
      <w:r w:rsidR="00D863D0">
        <w:t>ISBN</w:t>
      </w:r>
      <w:r w:rsidR="00442C1C">
        <w:t xml:space="preserve"> </w:t>
      </w:r>
      <w:r w:rsidR="007875DD" w:rsidRPr="007875DD">
        <w:t>978-1-98-856887-4</w:t>
      </w:r>
      <w:r w:rsidR="007875DD">
        <w:t xml:space="preserve"> </w:t>
      </w:r>
      <w:r w:rsidR="00D863D0">
        <w:t>(</w:t>
      </w:r>
      <w:r w:rsidR="00442C1C">
        <w:t>online</w:t>
      </w:r>
      <w:r w:rsidR="00D863D0">
        <w:t>)</w:t>
      </w:r>
      <w:r w:rsidR="00082CD6">
        <w:br/>
      </w:r>
      <w:r w:rsidR="00082CD6" w:rsidRPr="009C0F2D">
        <w:t xml:space="preserve">HP </w:t>
      </w:r>
      <w:r w:rsidR="007875DD">
        <w:t>7137</w:t>
      </w:r>
    </w:p>
    <w:p w:rsidR="00C86248" w:rsidRDefault="008C64C4" w:rsidP="00A63DFF">
      <w:r>
        <w:rPr>
          <w:noProof/>
          <w:lang w:eastAsia="en-NZ"/>
        </w:rPr>
        <w:drawing>
          <wp:inline distT="0" distB="0" distL="0" distR="0" wp14:anchorId="5C38F07E" wp14:editId="0F6EF296">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rsidTr="00A63DFF">
        <w:trPr>
          <w:cantSplit/>
        </w:trPr>
        <w:tc>
          <w:tcPr>
            <w:tcW w:w="1526" w:type="dxa"/>
          </w:tcPr>
          <w:p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2E5D0BAE" wp14:editId="4295EBFA">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rsidR="007E74F1" w:rsidRPr="001F45A7" w:rsidRDefault="007E74F1" w:rsidP="00A63DFF"/>
    <w:p w:rsidR="00C86248" w:rsidRDefault="00C86248">
      <w:pPr>
        <w:jc w:val="center"/>
        <w:sectPr w:rsidR="00C86248" w:rsidSect="007A2C74">
          <w:headerReference w:type="even" r:id="rId12"/>
          <w:headerReference w:type="default" r:id="rId13"/>
          <w:footerReference w:type="even" r:id="rId14"/>
          <w:footerReference w:type="default" r:id="rId15"/>
          <w:headerReference w:type="first" r:id="rId16"/>
          <w:pgSz w:w="11907" w:h="16834" w:code="9"/>
          <w:pgMar w:top="1701" w:right="2268" w:bottom="1134" w:left="2268" w:header="0" w:footer="0" w:gutter="0"/>
          <w:cols w:space="720"/>
          <w:vAlign w:val="bottom"/>
        </w:sectPr>
      </w:pPr>
    </w:p>
    <w:p w:rsidR="00C73ACA" w:rsidRPr="00F776F5" w:rsidRDefault="00C73ACA" w:rsidP="00724B86">
      <w:pPr>
        <w:pStyle w:val="Heading1"/>
        <w:pageBreakBefore w:val="0"/>
        <w:numPr>
          <w:ilvl w:val="0"/>
          <w:numId w:val="0"/>
        </w:numPr>
        <w:rPr>
          <w:rFonts w:ascii="Segoe UI" w:hAnsi="Segoe UI" w:cs="Segoe UI"/>
          <w:b/>
        </w:rPr>
      </w:pPr>
      <w:bookmarkStart w:id="1" w:name="_Toc9239584"/>
      <w:r w:rsidRPr="00F776F5">
        <w:rPr>
          <w:rFonts w:ascii="Segoe UI" w:hAnsi="Segoe UI" w:cs="Segoe UI"/>
          <w:b/>
        </w:rPr>
        <w:lastRenderedPageBreak/>
        <w:t>For</w:t>
      </w:r>
      <w:r w:rsidR="005C23DB" w:rsidRPr="00F776F5">
        <w:rPr>
          <w:rFonts w:ascii="Segoe UI" w:hAnsi="Segoe UI" w:cs="Segoe UI"/>
          <w:b/>
        </w:rPr>
        <w:t>e</w:t>
      </w:r>
      <w:r w:rsidRPr="00F776F5">
        <w:rPr>
          <w:rFonts w:ascii="Segoe UI" w:hAnsi="Segoe UI" w:cs="Segoe UI"/>
          <w:b/>
        </w:rPr>
        <w:t>w</w:t>
      </w:r>
      <w:r w:rsidR="005C23DB" w:rsidRPr="00F776F5">
        <w:rPr>
          <w:rFonts w:ascii="Segoe UI" w:hAnsi="Segoe UI" w:cs="Segoe UI"/>
          <w:b/>
        </w:rPr>
        <w:t>o</w:t>
      </w:r>
      <w:r w:rsidRPr="00F776F5">
        <w:rPr>
          <w:rFonts w:ascii="Segoe UI" w:hAnsi="Segoe UI" w:cs="Segoe UI"/>
          <w:b/>
        </w:rPr>
        <w:t>rd</w:t>
      </w:r>
      <w:bookmarkEnd w:id="1"/>
      <w:r w:rsidRPr="00F776F5">
        <w:rPr>
          <w:rFonts w:ascii="Segoe UI" w:hAnsi="Segoe UI" w:cs="Segoe UI"/>
          <w:b/>
        </w:rPr>
        <w:t xml:space="preserve"> </w:t>
      </w:r>
    </w:p>
    <w:p w:rsidR="00C73ACA" w:rsidRPr="00C73ACA" w:rsidRDefault="00C73ACA" w:rsidP="00C73ACA">
      <w:pPr>
        <w:rPr>
          <w:rFonts w:eastAsia="Calibri"/>
          <w:lang w:eastAsia="en-US"/>
        </w:rPr>
      </w:pPr>
      <w:r w:rsidRPr="00C73ACA">
        <w:rPr>
          <w:rFonts w:eastAsia="Calibri"/>
          <w:lang w:eastAsia="en-US"/>
        </w:rPr>
        <w:t xml:space="preserve">The Gambling Act 2003 sets out requirements for an ‘integrated problem gambling strategy focused on public health’. The Ministry of Health (the Ministry) is responsible for developing and refreshing this strategy </w:t>
      </w:r>
      <w:r w:rsidR="00B175FD">
        <w:rPr>
          <w:rFonts w:eastAsia="Calibri"/>
          <w:lang w:eastAsia="en-US"/>
        </w:rPr>
        <w:t>every</w:t>
      </w:r>
      <w:r w:rsidR="00B175FD" w:rsidRPr="00C73ACA">
        <w:rPr>
          <w:rFonts w:eastAsia="Calibri"/>
          <w:lang w:eastAsia="en-US"/>
        </w:rPr>
        <w:t xml:space="preserve"> </w:t>
      </w:r>
      <w:r w:rsidRPr="00C73ACA">
        <w:rPr>
          <w:rFonts w:eastAsia="Calibri"/>
          <w:lang w:eastAsia="en-US"/>
        </w:rPr>
        <w:t>three</w:t>
      </w:r>
      <w:r w:rsidR="00B175FD">
        <w:rPr>
          <w:rFonts w:eastAsia="Calibri"/>
          <w:lang w:eastAsia="en-US"/>
        </w:rPr>
        <w:t xml:space="preserve"> </w:t>
      </w:r>
      <w:r w:rsidRPr="00C73ACA">
        <w:rPr>
          <w:rFonts w:eastAsia="Calibri"/>
          <w:lang w:eastAsia="en-US"/>
        </w:rPr>
        <w:t>year</w:t>
      </w:r>
      <w:r w:rsidR="00B175FD">
        <w:rPr>
          <w:rFonts w:eastAsia="Calibri"/>
          <w:lang w:eastAsia="en-US"/>
        </w:rPr>
        <w:t>s</w:t>
      </w:r>
      <w:r w:rsidRPr="00C73ACA">
        <w:rPr>
          <w:rFonts w:eastAsia="Calibri"/>
          <w:lang w:eastAsia="en-US"/>
        </w:rPr>
        <w:t xml:space="preserve">, </w:t>
      </w:r>
      <w:r w:rsidR="00B175FD">
        <w:rPr>
          <w:rFonts w:eastAsia="Calibri"/>
          <w:lang w:eastAsia="en-US"/>
        </w:rPr>
        <w:t>as well as</w:t>
      </w:r>
      <w:r w:rsidR="00B175FD" w:rsidRPr="00C73ACA">
        <w:rPr>
          <w:rFonts w:eastAsia="Calibri"/>
          <w:lang w:eastAsia="en-US"/>
        </w:rPr>
        <w:t xml:space="preserve"> </w:t>
      </w:r>
      <w:r w:rsidRPr="00C73ACA">
        <w:rPr>
          <w:rFonts w:eastAsia="Calibri"/>
          <w:lang w:eastAsia="en-US"/>
        </w:rPr>
        <w:t>for implementing it. The Act specifies consultation requirements for develop</w:t>
      </w:r>
      <w:r w:rsidR="00B175FD">
        <w:rPr>
          <w:rFonts w:eastAsia="Calibri"/>
          <w:lang w:eastAsia="en-US"/>
        </w:rPr>
        <w:t>ing</w:t>
      </w:r>
      <w:r w:rsidRPr="00C73ACA">
        <w:rPr>
          <w:rFonts w:eastAsia="Calibri"/>
          <w:lang w:eastAsia="en-US"/>
        </w:rPr>
        <w:t xml:space="preserve"> the strategy and the levy rates.</w:t>
      </w:r>
    </w:p>
    <w:p w:rsidR="00C73ACA" w:rsidRPr="00C73ACA" w:rsidRDefault="00C73ACA" w:rsidP="00C73ACA">
      <w:pPr>
        <w:rPr>
          <w:rFonts w:eastAsia="Calibri"/>
          <w:lang w:eastAsia="en-US"/>
        </w:rPr>
      </w:pPr>
    </w:p>
    <w:p w:rsidR="00C73ACA" w:rsidRPr="00C73ACA" w:rsidRDefault="00C73ACA" w:rsidP="00C73ACA">
      <w:pPr>
        <w:rPr>
          <w:rFonts w:eastAsia="Calibri"/>
          <w:lang w:eastAsia="en-US"/>
        </w:rPr>
      </w:pPr>
      <w:r w:rsidRPr="00C73ACA">
        <w:rPr>
          <w:rFonts w:eastAsia="Calibri"/>
          <w:lang w:eastAsia="en-US"/>
        </w:rPr>
        <w:t xml:space="preserve">The </w:t>
      </w:r>
      <w:r w:rsidRPr="00C73ACA">
        <w:rPr>
          <w:rFonts w:eastAsia="Calibri"/>
          <w:i/>
          <w:lang w:eastAsia="en-US"/>
        </w:rPr>
        <w:t>Strategy to Prevent and Minimise Gambling Harm 2019/20 to 2021/22</w:t>
      </w:r>
      <w:r w:rsidRPr="00C73ACA">
        <w:rPr>
          <w:rFonts w:eastAsia="Calibri"/>
          <w:lang w:eastAsia="en-US"/>
        </w:rPr>
        <w:t xml:space="preserve"> </w:t>
      </w:r>
      <w:r w:rsidR="004D4F19">
        <w:rPr>
          <w:rFonts w:eastAsia="Calibri"/>
          <w:lang w:eastAsia="en-US"/>
        </w:rPr>
        <w:t xml:space="preserve">(the </w:t>
      </w:r>
      <w:r w:rsidR="000C68A8">
        <w:rPr>
          <w:rFonts w:eastAsia="Calibri"/>
          <w:lang w:eastAsia="en-US"/>
        </w:rPr>
        <w:t>strategy</w:t>
      </w:r>
      <w:r w:rsidR="004D4F19">
        <w:rPr>
          <w:rFonts w:eastAsia="Calibri"/>
          <w:lang w:eastAsia="en-US"/>
        </w:rPr>
        <w:t xml:space="preserve">) </w:t>
      </w:r>
      <w:r w:rsidRPr="00C73ACA">
        <w:rPr>
          <w:rFonts w:eastAsia="Calibri"/>
          <w:lang w:eastAsia="en-US"/>
        </w:rPr>
        <w:t xml:space="preserve">is the integrated problem gambling strategy </w:t>
      </w:r>
      <w:r w:rsidR="00B175FD">
        <w:rPr>
          <w:rFonts w:eastAsia="Calibri"/>
          <w:lang w:eastAsia="en-US"/>
        </w:rPr>
        <w:t>required</w:t>
      </w:r>
      <w:r w:rsidRPr="00C73ACA">
        <w:rPr>
          <w:rFonts w:eastAsia="Calibri"/>
          <w:lang w:eastAsia="en-US"/>
        </w:rPr>
        <w:t xml:space="preserve"> in the Act. This</w:t>
      </w:r>
      <w:r w:rsidR="00B175FD">
        <w:rPr>
          <w:rFonts w:eastAsia="Calibri"/>
          <w:lang w:eastAsia="en-US"/>
        </w:rPr>
        <w:t xml:space="preserve"> </w:t>
      </w:r>
      <w:r w:rsidR="000C68A8">
        <w:rPr>
          <w:rFonts w:eastAsia="Calibri"/>
          <w:lang w:eastAsia="en-US"/>
        </w:rPr>
        <w:t>strategy</w:t>
      </w:r>
      <w:r w:rsidR="000C68A8" w:rsidRPr="00C73ACA">
        <w:rPr>
          <w:rFonts w:eastAsia="Calibri"/>
          <w:lang w:eastAsia="en-US"/>
        </w:rPr>
        <w:t xml:space="preserve"> </w:t>
      </w:r>
      <w:r w:rsidRPr="00C73ACA">
        <w:rPr>
          <w:rFonts w:eastAsia="Calibri"/>
          <w:lang w:eastAsia="en-US"/>
        </w:rPr>
        <w:t xml:space="preserve">sets out the Ministry’s </w:t>
      </w:r>
      <w:r w:rsidR="00B175FD">
        <w:rPr>
          <w:rFonts w:eastAsia="Calibri"/>
          <w:lang w:eastAsia="en-US"/>
        </w:rPr>
        <w:t>response</w:t>
      </w:r>
      <w:r w:rsidR="00B175FD" w:rsidRPr="00C73ACA">
        <w:rPr>
          <w:rFonts w:eastAsia="Calibri"/>
          <w:lang w:eastAsia="en-US"/>
        </w:rPr>
        <w:t xml:space="preserve"> </w:t>
      </w:r>
      <w:r w:rsidRPr="00C73ACA">
        <w:rPr>
          <w:rFonts w:eastAsia="Calibri"/>
          <w:lang w:eastAsia="en-US"/>
        </w:rPr>
        <w:t xml:space="preserve">to prevent and minimise gambling harm, </w:t>
      </w:r>
      <w:r w:rsidR="00BB3F59">
        <w:rPr>
          <w:rFonts w:eastAsia="Calibri"/>
          <w:lang w:eastAsia="en-US"/>
        </w:rPr>
        <w:t>after</w:t>
      </w:r>
      <w:r w:rsidR="00BB3F59" w:rsidRPr="00C73ACA">
        <w:rPr>
          <w:rFonts w:eastAsia="Calibri"/>
          <w:lang w:eastAsia="en-US"/>
        </w:rPr>
        <w:t xml:space="preserve"> </w:t>
      </w:r>
      <w:r w:rsidRPr="00C73ACA">
        <w:rPr>
          <w:rFonts w:eastAsia="Calibri"/>
          <w:lang w:eastAsia="en-US"/>
        </w:rPr>
        <w:t>consider</w:t>
      </w:r>
      <w:r w:rsidR="00BB3F59">
        <w:rPr>
          <w:rFonts w:eastAsia="Calibri"/>
          <w:lang w:eastAsia="en-US"/>
        </w:rPr>
        <w:t>ing the</w:t>
      </w:r>
      <w:r w:rsidRPr="00C73ACA">
        <w:rPr>
          <w:rFonts w:eastAsia="Calibri"/>
          <w:lang w:eastAsia="en-US"/>
        </w:rPr>
        <w:t>:</w:t>
      </w:r>
    </w:p>
    <w:p w:rsidR="00C73ACA" w:rsidRPr="00C73ACA" w:rsidRDefault="00C73ACA" w:rsidP="00C73ACA">
      <w:pPr>
        <w:pStyle w:val="Bullet"/>
      </w:pPr>
      <w:r w:rsidRPr="00C73ACA">
        <w:t xml:space="preserve">submissions on the consultation document and the Allen + Clarke analysis of submissions </w:t>
      </w:r>
    </w:p>
    <w:p w:rsidR="00C73ACA" w:rsidRPr="00C73ACA" w:rsidRDefault="00C73ACA" w:rsidP="00C73ACA">
      <w:pPr>
        <w:pStyle w:val="Bullet"/>
      </w:pPr>
      <w:r w:rsidRPr="00C73ACA">
        <w:t xml:space="preserve">Sapere </w:t>
      </w:r>
      <w:r w:rsidRPr="00A710BB">
        <w:rPr>
          <w:i/>
        </w:rPr>
        <w:t>Gambling Harm Reduction Needs Assessment</w:t>
      </w:r>
      <w:r w:rsidRPr="00C73ACA">
        <w:t xml:space="preserve"> </w:t>
      </w:r>
      <w:r w:rsidR="004C050C">
        <w:t xml:space="preserve">(Rook et al 2018) </w:t>
      </w:r>
      <w:r w:rsidRPr="00C73ACA">
        <w:t>(see Section 2.6)</w:t>
      </w:r>
    </w:p>
    <w:p w:rsidR="00C73ACA" w:rsidRPr="003C065E" w:rsidRDefault="006857EF" w:rsidP="00C73ACA">
      <w:pPr>
        <w:pStyle w:val="Bullet"/>
      </w:pPr>
      <w:r w:rsidRPr="00C73ACA">
        <w:t>reflections</w:t>
      </w:r>
      <w:r>
        <w:t xml:space="preserve"> in the</w:t>
      </w:r>
      <w:r w:rsidR="0091239F" w:rsidRPr="0091239F">
        <w:t xml:space="preserve"> </w:t>
      </w:r>
      <w:r w:rsidR="0091239F" w:rsidRPr="00C642F4">
        <w:rPr>
          <w:rFonts w:ascii="Arial" w:hAnsi="Arial" w:cs="Arial"/>
          <w:i/>
          <w:color w:val="002639"/>
          <w:sz w:val="20"/>
          <w:lang w:val="en"/>
        </w:rPr>
        <w:t>Progress on Gambling Harm Reduction 2010 to 2017: Outcomes report</w:t>
      </w:r>
      <w:r w:rsidR="00C73ACA" w:rsidRPr="00C73ACA">
        <w:t xml:space="preserve"> </w:t>
      </w:r>
      <w:r w:rsidR="0091239F">
        <w:t>(</w:t>
      </w:r>
      <w:r w:rsidR="0091239F" w:rsidRPr="003C32A5">
        <w:t>Ministry</w:t>
      </w:r>
      <w:r w:rsidR="0091239F" w:rsidRPr="003C32A5">
        <w:rPr>
          <w:lang w:eastAsia="en-NZ"/>
        </w:rPr>
        <w:t xml:space="preserve"> of Health</w:t>
      </w:r>
      <w:r w:rsidR="00CF680F">
        <w:rPr>
          <w:lang w:eastAsia="en-NZ"/>
        </w:rPr>
        <w:t>,</w:t>
      </w:r>
      <w:r w:rsidR="0091239F">
        <w:rPr>
          <w:rFonts w:ascii="Arial" w:hAnsi="Arial" w:cs="Arial"/>
          <w:color w:val="002639"/>
          <w:sz w:val="20"/>
          <w:lang w:val="en"/>
        </w:rPr>
        <w:t xml:space="preserve"> 2018)</w:t>
      </w:r>
    </w:p>
    <w:p w:rsidR="00C73ACA" w:rsidRPr="00C73ACA" w:rsidRDefault="00C73ACA" w:rsidP="00C73ACA">
      <w:pPr>
        <w:pStyle w:val="Bullet"/>
      </w:pPr>
      <w:r w:rsidRPr="00C73ACA">
        <w:t xml:space="preserve">Gambling Commission’s report to responsible Ministers and the independent report prepared for the Commission about the Ministry’s revised </w:t>
      </w:r>
      <w:r w:rsidR="00E75401">
        <w:t>s</w:t>
      </w:r>
      <w:r w:rsidRPr="00C73ACA">
        <w:t>trategy proposals document and associated problem gambling levy rates</w:t>
      </w:r>
      <w:r w:rsidR="00525756">
        <w:t xml:space="preserve"> (Gambling Commission 2019)</w:t>
      </w:r>
      <w:r w:rsidRPr="00C73ACA">
        <w:t xml:space="preserve">. </w:t>
      </w:r>
    </w:p>
    <w:p w:rsidR="00C73ACA" w:rsidRPr="00C73ACA" w:rsidRDefault="00C73ACA" w:rsidP="00C73ACA">
      <w:pPr>
        <w:rPr>
          <w:rFonts w:eastAsia="Calibri"/>
          <w:lang w:eastAsia="en-US"/>
        </w:rPr>
      </w:pPr>
    </w:p>
    <w:p w:rsidR="00C73ACA" w:rsidRPr="00C73ACA" w:rsidRDefault="00C73ACA" w:rsidP="00C73ACA">
      <w:pPr>
        <w:rPr>
          <w:rFonts w:eastAsia="Calibri"/>
          <w:lang w:eastAsia="en-US"/>
        </w:rPr>
      </w:pPr>
      <w:r w:rsidRPr="00C73ACA">
        <w:rPr>
          <w:rFonts w:eastAsia="Calibri"/>
          <w:lang w:eastAsia="en-US"/>
        </w:rPr>
        <w:t xml:space="preserve">The Ministry acknowledges that the submissions it received during its consultation </w:t>
      </w:r>
      <w:r w:rsidR="004D4F19">
        <w:rPr>
          <w:rFonts w:eastAsia="Calibri"/>
          <w:lang w:eastAsia="en-US"/>
        </w:rPr>
        <w:t>presented</w:t>
      </w:r>
      <w:r w:rsidR="004D4F19" w:rsidRPr="00C73ACA">
        <w:rPr>
          <w:rFonts w:eastAsia="Calibri"/>
          <w:lang w:eastAsia="en-US"/>
        </w:rPr>
        <w:t xml:space="preserve"> </w:t>
      </w:r>
      <w:r w:rsidRPr="00C73ACA">
        <w:rPr>
          <w:rFonts w:eastAsia="Calibri"/>
          <w:lang w:eastAsia="en-US"/>
        </w:rPr>
        <w:t xml:space="preserve">multiple stories </w:t>
      </w:r>
      <w:r w:rsidR="004D4F19">
        <w:rPr>
          <w:rFonts w:eastAsia="Calibri"/>
          <w:lang w:eastAsia="en-US"/>
        </w:rPr>
        <w:t xml:space="preserve">from </w:t>
      </w:r>
      <w:r w:rsidRPr="00C73ACA">
        <w:rPr>
          <w:rFonts w:eastAsia="Calibri"/>
          <w:lang w:eastAsia="en-US"/>
        </w:rPr>
        <w:t xml:space="preserve">a range of perspectives on gambling and </w:t>
      </w:r>
      <w:r w:rsidR="004D4F19">
        <w:rPr>
          <w:rFonts w:eastAsia="Calibri"/>
          <w:lang w:eastAsia="en-US"/>
        </w:rPr>
        <w:t xml:space="preserve">minimising </w:t>
      </w:r>
      <w:r w:rsidRPr="00C73ACA">
        <w:rPr>
          <w:rFonts w:eastAsia="Calibri"/>
          <w:lang w:eastAsia="en-US"/>
        </w:rPr>
        <w:t xml:space="preserve">gambling harm. At times, these storylines came close together or even intersected, but the points of view were shaped by very different aims and objectives. </w:t>
      </w:r>
    </w:p>
    <w:p w:rsidR="00C73ACA" w:rsidRPr="00C73ACA" w:rsidRDefault="00C73ACA" w:rsidP="00C73ACA">
      <w:pPr>
        <w:rPr>
          <w:rFonts w:eastAsia="Calibri"/>
          <w:lang w:eastAsia="en-US"/>
        </w:rPr>
      </w:pPr>
    </w:p>
    <w:p w:rsidR="00C73ACA" w:rsidRPr="00C73ACA" w:rsidRDefault="00C73ACA" w:rsidP="00C73ACA">
      <w:pPr>
        <w:rPr>
          <w:rFonts w:eastAsia="Calibri"/>
          <w:lang w:eastAsia="en-US"/>
        </w:rPr>
      </w:pPr>
      <w:r w:rsidRPr="00C73ACA">
        <w:rPr>
          <w:rFonts w:eastAsia="Calibri"/>
          <w:lang w:eastAsia="en-US"/>
        </w:rPr>
        <w:t xml:space="preserve">The Ministry acknowledges that all these perspectives are real and valid, and the goals and outcomes of the </w:t>
      </w:r>
      <w:r w:rsidR="000C68A8">
        <w:rPr>
          <w:rFonts w:eastAsia="Calibri"/>
          <w:lang w:eastAsia="en-US"/>
        </w:rPr>
        <w:t>s</w:t>
      </w:r>
      <w:r w:rsidRPr="00C73ACA">
        <w:rPr>
          <w:rFonts w:eastAsia="Calibri"/>
          <w:lang w:eastAsia="en-US"/>
        </w:rPr>
        <w:t xml:space="preserve">trategy matter to all submitters. Nevertheless, differing perspectives result in different interpretations. The </w:t>
      </w:r>
      <w:r w:rsidR="000C68A8">
        <w:rPr>
          <w:rFonts w:eastAsia="Calibri"/>
          <w:lang w:eastAsia="en-US"/>
        </w:rPr>
        <w:t>s</w:t>
      </w:r>
      <w:r w:rsidRPr="00C73ACA">
        <w:rPr>
          <w:rFonts w:eastAsia="Calibri"/>
          <w:lang w:eastAsia="en-US"/>
        </w:rPr>
        <w:t xml:space="preserve">trategy sets out a new direction for change, to provide new and more relevant services to support the needs of people affected by gambling harm, expand the range of services and learn from people with lived experience. </w:t>
      </w:r>
    </w:p>
    <w:p w:rsidR="00C73ACA" w:rsidRPr="00C73ACA" w:rsidRDefault="00C73ACA" w:rsidP="00C73ACA">
      <w:pPr>
        <w:rPr>
          <w:rFonts w:eastAsia="Calibri"/>
          <w:lang w:eastAsia="en-US"/>
        </w:rPr>
      </w:pPr>
    </w:p>
    <w:p w:rsidR="00C73ACA" w:rsidRPr="00C73ACA" w:rsidRDefault="00C73ACA" w:rsidP="00C73ACA">
      <w:pPr>
        <w:widowControl w:val="0"/>
        <w:overflowPunct w:val="0"/>
        <w:autoSpaceDE w:val="0"/>
        <w:autoSpaceDN w:val="0"/>
        <w:adjustRightInd w:val="0"/>
        <w:spacing w:before="120" w:after="240" w:line="264" w:lineRule="auto"/>
        <w:jc w:val="both"/>
        <w:textAlignment w:val="baseline"/>
      </w:pPr>
      <w:r w:rsidRPr="00C73ACA">
        <w:t xml:space="preserve">While gambling services were excluded from the scope of the Government Inquiry into Mental Health and Addiction Services </w:t>
      </w:r>
      <w:r w:rsidR="00724B86">
        <w:t>due to the timeframes associated with the strategy refresh,</w:t>
      </w:r>
      <w:r w:rsidR="00724B86" w:rsidRPr="00C73ACA" w:rsidDel="004D4F19">
        <w:t xml:space="preserve"> </w:t>
      </w:r>
      <w:r w:rsidRPr="00C73ACA">
        <w:t xml:space="preserve">the </w:t>
      </w:r>
      <w:r w:rsidR="000C68A8">
        <w:t>s</w:t>
      </w:r>
      <w:r w:rsidRPr="00C73ACA">
        <w:t xml:space="preserve">trategy proposals </w:t>
      </w:r>
      <w:r w:rsidR="007C39A6">
        <w:t xml:space="preserve">align strongly with </w:t>
      </w:r>
      <w:r w:rsidR="000F4A70">
        <w:t xml:space="preserve">the changes recommended </w:t>
      </w:r>
      <w:r w:rsidR="004D4F19">
        <w:t xml:space="preserve">in </w:t>
      </w:r>
      <w:r w:rsidRPr="00A710BB">
        <w:rPr>
          <w:i/>
        </w:rPr>
        <w:t>He Ara Oranga</w:t>
      </w:r>
      <w:r w:rsidRPr="00C73ACA">
        <w:t>, the report of the Inquiry</w:t>
      </w:r>
      <w:r w:rsidR="00B67CED">
        <w:t xml:space="preserve"> (Government Inquiry into Mental Health and Addiction 2018)</w:t>
      </w:r>
      <w:r w:rsidR="000F4A70">
        <w:t xml:space="preserve">. </w:t>
      </w:r>
      <w:r w:rsidRPr="00C73ACA">
        <w:t>For example</w:t>
      </w:r>
      <w:r w:rsidR="00B67CED">
        <w:t>,</w:t>
      </w:r>
      <w:r w:rsidRPr="00C73ACA">
        <w:t xml:space="preserve"> the</w:t>
      </w:r>
      <w:r w:rsidR="00A93F68">
        <w:t>y recognise</w:t>
      </w:r>
      <w:r w:rsidRPr="00C73ACA">
        <w:t xml:space="preserve"> </w:t>
      </w:r>
      <w:r w:rsidR="00DD53CF">
        <w:t xml:space="preserve">the </w:t>
      </w:r>
      <w:r w:rsidRPr="00C73ACA">
        <w:t>importance of placing people at the centre</w:t>
      </w:r>
      <w:r w:rsidR="00A93F68">
        <w:t xml:space="preserve"> of a service</w:t>
      </w:r>
      <w:r w:rsidRPr="00C73ACA">
        <w:t>, using service co</w:t>
      </w:r>
      <w:r w:rsidR="004D07D8">
        <w:t>-</w:t>
      </w:r>
      <w:r w:rsidRPr="00C73ACA">
        <w:t xml:space="preserve">design and lived experience, </w:t>
      </w:r>
      <w:r w:rsidR="00A93F68">
        <w:t xml:space="preserve">having </w:t>
      </w:r>
      <w:r w:rsidRPr="00C73ACA">
        <w:t xml:space="preserve">consumer networks, expanding the range and choice of services to be more holistic and culturally appropriate, </w:t>
      </w:r>
      <w:r w:rsidR="00A93F68">
        <w:t xml:space="preserve">and </w:t>
      </w:r>
      <w:r w:rsidRPr="00C73ACA">
        <w:t xml:space="preserve">strengthening the mix of peer, cultural, support and clinical workforces, communities, tāngata whaiora and whānau. </w:t>
      </w:r>
    </w:p>
    <w:p w:rsidR="00C73ACA" w:rsidRPr="00C73ACA" w:rsidRDefault="00C73ACA" w:rsidP="00C73ACA">
      <w:pPr>
        <w:rPr>
          <w:rFonts w:eastAsia="Calibri"/>
          <w:lang w:eastAsia="en-US"/>
        </w:rPr>
      </w:pPr>
      <w:r w:rsidRPr="00C73ACA">
        <w:rPr>
          <w:rFonts w:eastAsia="Calibri"/>
          <w:lang w:eastAsia="en-US"/>
        </w:rPr>
        <w:lastRenderedPageBreak/>
        <w:t>The Ministry’s Addictions Team is grateful for the passion and compassion evident in submissions from people who frankly shared their experiences of gambling harm</w:t>
      </w:r>
      <w:r w:rsidR="00A93F68">
        <w:rPr>
          <w:rFonts w:eastAsia="Calibri"/>
          <w:lang w:eastAsia="en-US"/>
        </w:rPr>
        <w:t xml:space="preserve"> and</w:t>
      </w:r>
      <w:r w:rsidRPr="00C73ACA">
        <w:rPr>
          <w:rFonts w:eastAsia="Calibri"/>
          <w:lang w:eastAsia="en-US"/>
        </w:rPr>
        <w:t xml:space="preserve"> dr</w:t>
      </w:r>
      <w:r w:rsidR="00A93F68">
        <w:rPr>
          <w:rFonts w:eastAsia="Calibri"/>
          <w:lang w:eastAsia="en-US"/>
        </w:rPr>
        <w:t>ew</w:t>
      </w:r>
      <w:r w:rsidRPr="00C73ACA">
        <w:rPr>
          <w:rFonts w:eastAsia="Calibri"/>
          <w:lang w:eastAsia="en-US"/>
        </w:rPr>
        <w:t xml:space="preserve"> on these experiences to constructively contribute to the consultation. While it is impossible for the </w:t>
      </w:r>
      <w:r w:rsidR="000C68A8">
        <w:rPr>
          <w:rFonts w:eastAsia="Calibri"/>
          <w:lang w:eastAsia="en-US"/>
        </w:rPr>
        <w:t>s</w:t>
      </w:r>
      <w:r w:rsidRPr="00C73ACA">
        <w:rPr>
          <w:rFonts w:eastAsia="Calibri"/>
          <w:lang w:eastAsia="en-US"/>
        </w:rPr>
        <w:t xml:space="preserve">trategy to reflect every individual’s point of view, the Ministry hopes that those who participated can see themselves in the </w:t>
      </w:r>
      <w:r w:rsidR="000C68A8">
        <w:rPr>
          <w:rFonts w:eastAsia="Calibri"/>
          <w:lang w:eastAsia="en-US"/>
        </w:rPr>
        <w:t>s</w:t>
      </w:r>
      <w:r w:rsidRPr="00C73ACA">
        <w:rPr>
          <w:rFonts w:eastAsia="Calibri"/>
          <w:lang w:eastAsia="en-US"/>
        </w:rPr>
        <w:t>trategy.</w:t>
      </w:r>
    </w:p>
    <w:p w:rsidR="005C23DB" w:rsidRDefault="005C23DB">
      <w:r>
        <w:br w:type="page"/>
      </w:r>
    </w:p>
    <w:p w:rsidR="005C23DB" w:rsidRDefault="005C23DB" w:rsidP="00F776F5">
      <w:pPr>
        <w:pStyle w:val="Heading1"/>
        <w:pageBreakBefore w:val="0"/>
        <w:numPr>
          <w:ilvl w:val="0"/>
          <w:numId w:val="0"/>
        </w:numPr>
      </w:pPr>
      <w:bookmarkStart w:id="2" w:name="_Toc9239585"/>
      <w:r w:rsidRPr="00F776F5">
        <w:rPr>
          <w:rFonts w:ascii="Segoe UI" w:hAnsi="Segoe UI" w:cs="Segoe UI"/>
          <w:b/>
        </w:rPr>
        <w:lastRenderedPageBreak/>
        <w:t>Contents</w:t>
      </w:r>
      <w:bookmarkEnd w:id="2"/>
    </w:p>
    <w:p w:rsidR="00525EFA" w:rsidRDefault="00E94F8C">
      <w:pPr>
        <w:pStyle w:val="TOC1"/>
        <w:rPr>
          <w:rFonts w:asciiTheme="minorHAnsi" w:eastAsiaTheme="minorEastAsia" w:hAnsiTheme="minorHAnsi" w:cstheme="minorBidi"/>
          <w:noProof/>
          <w:sz w:val="22"/>
          <w:szCs w:val="22"/>
          <w:lang w:eastAsia="en-NZ"/>
        </w:rPr>
      </w:pPr>
      <w:r>
        <w:rPr>
          <w:szCs w:val="21"/>
        </w:rPr>
        <w:fldChar w:fldCharType="begin"/>
      </w:r>
      <w:r>
        <w:rPr>
          <w:szCs w:val="21"/>
        </w:rPr>
        <w:instrText xml:space="preserve"> TOC \o "1-2" \h \z \u </w:instrText>
      </w:r>
      <w:r>
        <w:rPr>
          <w:szCs w:val="21"/>
        </w:rPr>
        <w:fldChar w:fldCharType="separate"/>
      </w:r>
      <w:hyperlink w:anchor="_Toc9239584" w:history="1">
        <w:r w:rsidR="00525EFA" w:rsidRPr="00AB0E6B">
          <w:rPr>
            <w:rStyle w:val="Hyperlink"/>
            <w:rFonts w:ascii="Segoe UI" w:hAnsi="Segoe UI" w:cs="Segoe UI"/>
            <w:noProof/>
          </w:rPr>
          <w:t>Foreword</w:t>
        </w:r>
        <w:r w:rsidR="00525EFA">
          <w:rPr>
            <w:noProof/>
            <w:webHidden/>
          </w:rPr>
          <w:tab/>
        </w:r>
        <w:r w:rsidR="00525EFA">
          <w:rPr>
            <w:noProof/>
            <w:webHidden/>
          </w:rPr>
          <w:fldChar w:fldCharType="begin"/>
        </w:r>
        <w:r w:rsidR="00525EFA">
          <w:rPr>
            <w:noProof/>
            <w:webHidden/>
          </w:rPr>
          <w:instrText xml:space="preserve"> PAGEREF _Toc9239584 \h </w:instrText>
        </w:r>
        <w:r w:rsidR="00525EFA">
          <w:rPr>
            <w:noProof/>
            <w:webHidden/>
          </w:rPr>
        </w:r>
        <w:r w:rsidR="00525EFA">
          <w:rPr>
            <w:noProof/>
            <w:webHidden/>
          </w:rPr>
          <w:fldChar w:fldCharType="separate"/>
        </w:r>
        <w:r w:rsidR="0002049A">
          <w:rPr>
            <w:noProof/>
            <w:webHidden/>
          </w:rPr>
          <w:t>iii</w:t>
        </w:r>
        <w:r w:rsidR="00525EFA">
          <w:rPr>
            <w:noProof/>
            <w:webHidden/>
          </w:rPr>
          <w:fldChar w:fldCharType="end"/>
        </w:r>
      </w:hyperlink>
    </w:p>
    <w:p w:rsidR="00525EFA" w:rsidRDefault="004354CD">
      <w:pPr>
        <w:pStyle w:val="TOC1"/>
        <w:rPr>
          <w:rFonts w:asciiTheme="minorHAnsi" w:eastAsiaTheme="minorEastAsia" w:hAnsiTheme="minorHAnsi" w:cstheme="minorBidi"/>
          <w:noProof/>
          <w:sz w:val="22"/>
          <w:szCs w:val="22"/>
          <w:lang w:eastAsia="en-NZ"/>
        </w:rPr>
      </w:pPr>
      <w:hyperlink w:anchor="_Toc9239585" w:history="1">
        <w:r w:rsidR="00525EFA" w:rsidRPr="00AB0E6B">
          <w:rPr>
            <w:rStyle w:val="Hyperlink"/>
            <w:rFonts w:ascii="Segoe UI" w:hAnsi="Segoe UI" w:cs="Segoe UI"/>
            <w:noProof/>
          </w:rPr>
          <w:t>Contents</w:t>
        </w:r>
        <w:r w:rsidR="00525EFA">
          <w:rPr>
            <w:noProof/>
            <w:webHidden/>
          </w:rPr>
          <w:tab/>
        </w:r>
        <w:r w:rsidR="00525EFA">
          <w:rPr>
            <w:noProof/>
            <w:webHidden/>
          </w:rPr>
          <w:fldChar w:fldCharType="begin"/>
        </w:r>
        <w:r w:rsidR="00525EFA">
          <w:rPr>
            <w:noProof/>
            <w:webHidden/>
          </w:rPr>
          <w:instrText xml:space="preserve"> PAGEREF _Toc9239585 \h </w:instrText>
        </w:r>
        <w:r w:rsidR="00525EFA">
          <w:rPr>
            <w:noProof/>
            <w:webHidden/>
          </w:rPr>
        </w:r>
        <w:r w:rsidR="00525EFA">
          <w:rPr>
            <w:noProof/>
            <w:webHidden/>
          </w:rPr>
          <w:fldChar w:fldCharType="separate"/>
        </w:r>
        <w:r w:rsidR="0002049A">
          <w:rPr>
            <w:noProof/>
            <w:webHidden/>
          </w:rPr>
          <w:t>v</w:t>
        </w:r>
        <w:r w:rsidR="00525EFA">
          <w:rPr>
            <w:noProof/>
            <w:webHidden/>
          </w:rPr>
          <w:fldChar w:fldCharType="end"/>
        </w:r>
      </w:hyperlink>
    </w:p>
    <w:p w:rsidR="00525EFA" w:rsidRDefault="004354CD">
      <w:pPr>
        <w:pStyle w:val="TOC1"/>
        <w:rPr>
          <w:rFonts w:asciiTheme="minorHAnsi" w:eastAsiaTheme="minorEastAsia" w:hAnsiTheme="minorHAnsi" w:cstheme="minorBidi"/>
          <w:noProof/>
          <w:sz w:val="22"/>
          <w:szCs w:val="22"/>
          <w:lang w:eastAsia="en-NZ"/>
        </w:rPr>
      </w:pPr>
      <w:hyperlink w:anchor="_Toc9239586" w:history="1">
        <w:r w:rsidR="00525EFA" w:rsidRPr="00AB0E6B">
          <w:rPr>
            <w:rStyle w:val="Hyperlink"/>
            <w:rFonts w:ascii="Segoe UI" w:hAnsi="Segoe UI" w:cs="Segoe UI"/>
            <w:noProof/>
          </w:rPr>
          <w:t>1</w:t>
        </w:r>
        <w:r w:rsidR="00525EFA">
          <w:rPr>
            <w:rFonts w:asciiTheme="minorHAnsi" w:eastAsiaTheme="minorEastAsia" w:hAnsiTheme="minorHAnsi" w:cstheme="minorBidi"/>
            <w:noProof/>
            <w:sz w:val="22"/>
            <w:szCs w:val="22"/>
            <w:lang w:eastAsia="en-NZ"/>
          </w:rPr>
          <w:tab/>
        </w:r>
        <w:r w:rsidR="00525EFA" w:rsidRPr="00AB0E6B">
          <w:rPr>
            <w:rStyle w:val="Hyperlink"/>
            <w:rFonts w:ascii="Segoe UI" w:hAnsi="Segoe UI" w:cs="Segoe UI"/>
            <w:noProof/>
          </w:rPr>
          <w:t>Introduction</w:t>
        </w:r>
        <w:r w:rsidR="00525EFA">
          <w:rPr>
            <w:noProof/>
            <w:webHidden/>
          </w:rPr>
          <w:tab/>
        </w:r>
        <w:r w:rsidR="00525EFA">
          <w:rPr>
            <w:noProof/>
            <w:webHidden/>
          </w:rPr>
          <w:fldChar w:fldCharType="begin"/>
        </w:r>
        <w:r w:rsidR="00525EFA">
          <w:rPr>
            <w:noProof/>
            <w:webHidden/>
          </w:rPr>
          <w:instrText xml:space="preserve"> PAGEREF _Toc9239586 \h </w:instrText>
        </w:r>
        <w:r w:rsidR="00525EFA">
          <w:rPr>
            <w:noProof/>
            <w:webHidden/>
          </w:rPr>
        </w:r>
        <w:r w:rsidR="00525EFA">
          <w:rPr>
            <w:noProof/>
            <w:webHidden/>
          </w:rPr>
          <w:fldChar w:fldCharType="separate"/>
        </w:r>
        <w:r w:rsidR="0002049A">
          <w:rPr>
            <w:noProof/>
            <w:webHidden/>
          </w:rPr>
          <w:t>1</w:t>
        </w:r>
        <w:r w:rsidR="00525EFA">
          <w:rPr>
            <w:noProof/>
            <w:webHidden/>
          </w:rPr>
          <w:fldChar w:fldCharType="end"/>
        </w:r>
      </w:hyperlink>
    </w:p>
    <w:p w:rsidR="00525EFA" w:rsidRDefault="004354CD">
      <w:pPr>
        <w:pStyle w:val="TOC1"/>
        <w:rPr>
          <w:rFonts w:asciiTheme="minorHAnsi" w:eastAsiaTheme="minorEastAsia" w:hAnsiTheme="minorHAnsi" w:cstheme="minorBidi"/>
          <w:noProof/>
          <w:sz w:val="22"/>
          <w:szCs w:val="22"/>
          <w:lang w:eastAsia="en-NZ"/>
        </w:rPr>
      </w:pPr>
      <w:hyperlink w:anchor="_Toc9239587" w:history="1">
        <w:r w:rsidR="00525EFA" w:rsidRPr="00AB0E6B">
          <w:rPr>
            <w:rStyle w:val="Hyperlink"/>
            <w:rFonts w:ascii="Segoe UI" w:hAnsi="Segoe UI" w:cs="Segoe UI"/>
            <w:noProof/>
          </w:rPr>
          <w:t>2</w:t>
        </w:r>
        <w:r w:rsidR="00525EFA">
          <w:rPr>
            <w:rFonts w:asciiTheme="minorHAnsi" w:eastAsiaTheme="minorEastAsia" w:hAnsiTheme="minorHAnsi" w:cstheme="minorBidi"/>
            <w:noProof/>
            <w:sz w:val="22"/>
            <w:szCs w:val="22"/>
            <w:lang w:eastAsia="en-NZ"/>
          </w:rPr>
          <w:tab/>
        </w:r>
        <w:r w:rsidR="00525EFA" w:rsidRPr="00AB0E6B">
          <w:rPr>
            <w:rStyle w:val="Hyperlink"/>
            <w:rFonts w:ascii="Segoe UI" w:hAnsi="Segoe UI" w:cs="Segoe UI"/>
            <w:noProof/>
          </w:rPr>
          <w:t>Strategic overview</w:t>
        </w:r>
        <w:r w:rsidR="00525EFA">
          <w:rPr>
            <w:noProof/>
            <w:webHidden/>
          </w:rPr>
          <w:tab/>
        </w:r>
        <w:r w:rsidR="00525EFA">
          <w:rPr>
            <w:noProof/>
            <w:webHidden/>
          </w:rPr>
          <w:fldChar w:fldCharType="begin"/>
        </w:r>
        <w:r w:rsidR="00525EFA">
          <w:rPr>
            <w:noProof/>
            <w:webHidden/>
          </w:rPr>
          <w:instrText xml:space="preserve"> PAGEREF _Toc9239587 \h </w:instrText>
        </w:r>
        <w:r w:rsidR="00525EFA">
          <w:rPr>
            <w:noProof/>
            <w:webHidden/>
          </w:rPr>
        </w:r>
        <w:r w:rsidR="00525EFA">
          <w:rPr>
            <w:noProof/>
            <w:webHidden/>
          </w:rPr>
          <w:fldChar w:fldCharType="separate"/>
        </w:r>
        <w:r w:rsidR="0002049A">
          <w:rPr>
            <w:noProof/>
            <w:webHidden/>
          </w:rPr>
          <w:t>3</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588" w:history="1">
        <w:r w:rsidR="00525EFA" w:rsidRPr="00AB0E6B">
          <w:rPr>
            <w:rStyle w:val="Hyperlink"/>
            <w:noProof/>
          </w:rPr>
          <w:t>2.1</w:t>
        </w:r>
        <w:r w:rsidR="00525EFA">
          <w:rPr>
            <w:rFonts w:asciiTheme="minorHAnsi" w:eastAsiaTheme="minorEastAsia" w:hAnsiTheme="minorHAnsi" w:cstheme="minorBidi"/>
            <w:noProof/>
            <w:szCs w:val="22"/>
            <w:lang w:eastAsia="en-NZ"/>
          </w:rPr>
          <w:tab/>
        </w:r>
        <w:r w:rsidR="00525EFA" w:rsidRPr="00AB0E6B">
          <w:rPr>
            <w:rStyle w:val="Hyperlink"/>
            <w:noProof/>
          </w:rPr>
          <w:t>The gambling environment</w:t>
        </w:r>
        <w:r w:rsidR="00525EFA">
          <w:rPr>
            <w:noProof/>
            <w:webHidden/>
          </w:rPr>
          <w:tab/>
        </w:r>
        <w:r w:rsidR="00525EFA">
          <w:rPr>
            <w:noProof/>
            <w:webHidden/>
          </w:rPr>
          <w:fldChar w:fldCharType="begin"/>
        </w:r>
        <w:r w:rsidR="00525EFA">
          <w:rPr>
            <w:noProof/>
            <w:webHidden/>
          </w:rPr>
          <w:instrText xml:space="preserve"> PAGEREF _Toc9239588 \h </w:instrText>
        </w:r>
        <w:r w:rsidR="00525EFA">
          <w:rPr>
            <w:noProof/>
            <w:webHidden/>
          </w:rPr>
        </w:r>
        <w:r w:rsidR="00525EFA">
          <w:rPr>
            <w:noProof/>
            <w:webHidden/>
          </w:rPr>
          <w:fldChar w:fldCharType="separate"/>
        </w:r>
        <w:r w:rsidR="0002049A">
          <w:rPr>
            <w:noProof/>
            <w:webHidden/>
          </w:rPr>
          <w:t>3</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589" w:history="1">
        <w:r w:rsidR="00525EFA" w:rsidRPr="00AB0E6B">
          <w:rPr>
            <w:rStyle w:val="Hyperlink"/>
            <w:noProof/>
          </w:rPr>
          <w:t>2.2</w:t>
        </w:r>
        <w:r w:rsidR="00525EFA">
          <w:rPr>
            <w:rFonts w:asciiTheme="minorHAnsi" w:eastAsiaTheme="minorEastAsia" w:hAnsiTheme="minorHAnsi" w:cstheme="minorBidi"/>
            <w:noProof/>
            <w:szCs w:val="22"/>
            <w:lang w:eastAsia="en-NZ"/>
          </w:rPr>
          <w:tab/>
        </w:r>
        <w:r w:rsidR="00525EFA" w:rsidRPr="00AB0E6B">
          <w:rPr>
            <w:rStyle w:val="Hyperlink"/>
            <w:noProof/>
          </w:rPr>
          <w:t>The nature of gambling harm</w:t>
        </w:r>
        <w:r w:rsidR="00525EFA">
          <w:rPr>
            <w:noProof/>
            <w:webHidden/>
          </w:rPr>
          <w:tab/>
        </w:r>
        <w:r w:rsidR="00525EFA">
          <w:rPr>
            <w:noProof/>
            <w:webHidden/>
          </w:rPr>
          <w:fldChar w:fldCharType="begin"/>
        </w:r>
        <w:r w:rsidR="00525EFA">
          <w:rPr>
            <w:noProof/>
            <w:webHidden/>
          </w:rPr>
          <w:instrText xml:space="preserve"> PAGEREF _Toc9239589 \h </w:instrText>
        </w:r>
        <w:r w:rsidR="00525EFA">
          <w:rPr>
            <w:noProof/>
            <w:webHidden/>
          </w:rPr>
        </w:r>
        <w:r w:rsidR="00525EFA">
          <w:rPr>
            <w:noProof/>
            <w:webHidden/>
          </w:rPr>
          <w:fldChar w:fldCharType="separate"/>
        </w:r>
        <w:r w:rsidR="0002049A">
          <w:rPr>
            <w:noProof/>
            <w:webHidden/>
          </w:rPr>
          <w:t>7</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590" w:history="1">
        <w:r w:rsidR="00525EFA" w:rsidRPr="00AB0E6B">
          <w:rPr>
            <w:rStyle w:val="Hyperlink"/>
            <w:noProof/>
          </w:rPr>
          <w:t>2.3</w:t>
        </w:r>
        <w:r w:rsidR="00525EFA">
          <w:rPr>
            <w:rFonts w:asciiTheme="minorHAnsi" w:eastAsiaTheme="minorEastAsia" w:hAnsiTheme="minorHAnsi" w:cstheme="minorBidi"/>
            <w:noProof/>
            <w:szCs w:val="22"/>
            <w:lang w:eastAsia="en-NZ"/>
          </w:rPr>
          <w:tab/>
        </w:r>
        <w:r w:rsidR="00525EFA" w:rsidRPr="00AB0E6B">
          <w:rPr>
            <w:rStyle w:val="Hyperlink"/>
            <w:noProof/>
          </w:rPr>
          <w:t>Intervention service data</w:t>
        </w:r>
        <w:r w:rsidR="00525EFA">
          <w:rPr>
            <w:noProof/>
            <w:webHidden/>
          </w:rPr>
          <w:tab/>
        </w:r>
        <w:r w:rsidR="00525EFA">
          <w:rPr>
            <w:noProof/>
            <w:webHidden/>
          </w:rPr>
          <w:fldChar w:fldCharType="begin"/>
        </w:r>
        <w:r w:rsidR="00525EFA">
          <w:rPr>
            <w:noProof/>
            <w:webHidden/>
          </w:rPr>
          <w:instrText xml:space="preserve"> PAGEREF _Toc9239590 \h </w:instrText>
        </w:r>
        <w:r w:rsidR="00525EFA">
          <w:rPr>
            <w:noProof/>
            <w:webHidden/>
          </w:rPr>
        </w:r>
        <w:r w:rsidR="00525EFA">
          <w:rPr>
            <w:noProof/>
            <w:webHidden/>
          </w:rPr>
          <w:fldChar w:fldCharType="separate"/>
        </w:r>
        <w:r w:rsidR="0002049A">
          <w:rPr>
            <w:noProof/>
            <w:webHidden/>
          </w:rPr>
          <w:t>9</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591" w:history="1">
        <w:r w:rsidR="00525EFA" w:rsidRPr="00AB0E6B">
          <w:rPr>
            <w:rStyle w:val="Hyperlink"/>
            <w:noProof/>
          </w:rPr>
          <w:t>2.4</w:t>
        </w:r>
        <w:r w:rsidR="00525EFA">
          <w:rPr>
            <w:rFonts w:asciiTheme="minorHAnsi" w:eastAsiaTheme="minorEastAsia" w:hAnsiTheme="minorHAnsi" w:cstheme="minorBidi"/>
            <w:noProof/>
            <w:szCs w:val="22"/>
            <w:lang w:eastAsia="en-NZ"/>
          </w:rPr>
          <w:tab/>
        </w:r>
        <w:r w:rsidR="00525EFA" w:rsidRPr="00AB0E6B">
          <w:rPr>
            <w:rStyle w:val="Hyperlink"/>
            <w:noProof/>
          </w:rPr>
          <w:t>Key principles underpinning the strategy</w:t>
        </w:r>
        <w:r w:rsidR="00525EFA">
          <w:rPr>
            <w:noProof/>
            <w:webHidden/>
          </w:rPr>
          <w:tab/>
        </w:r>
        <w:r w:rsidR="00525EFA">
          <w:rPr>
            <w:noProof/>
            <w:webHidden/>
          </w:rPr>
          <w:fldChar w:fldCharType="begin"/>
        </w:r>
        <w:r w:rsidR="00525EFA">
          <w:rPr>
            <w:noProof/>
            <w:webHidden/>
          </w:rPr>
          <w:instrText xml:space="preserve"> PAGEREF _Toc9239591 \h </w:instrText>
        </w:r>
        <w:r w:rsidR="00525EFA">
          <w:rPr>
            <w:noProof/>
            <w:webHidden/>
          </w:rPr>
        </w:r>
        <w:r w:rsidR="00525EFA">
          <w:rPr>
            <w:noProof/>
            <w:webHidden/>
          </w:rPr>
          <w:fldChar w:fldCharType="separate"/>
        </w:r>
        <w:r w:rsidR="0002049A">
          <w:rPr>
            <w:noProof/>
            <w:webHidden/>
          </w:rPr>
          <w:t>10</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592" w:history="1">
        <w:r w:rsidR="00525EFA" w:rsidRPr="00AB0E6B">
          <w:rPr>
            <w:rStyle w:val="Hyperlink"/>
            <w:noProof/>
          </w:rPr>
          <w:t>2.5</w:t>
        </w:r>
        <w:r w:rsidR="00525EFA">
          <w:rPr>
            <w:rFonts w:asciiTheme="minorHAnsi" w:eastAsiaTheme="minorEastAsia" w:hAnsiTheme="minorHAnsi" w:cstheme="minorBidi"/>
            <w:noProof/>
            <w:szCs w:val="22"/>
            <w:lang w:eastAsia="en-NZ"/>
          </w:rPr>
          <w:tab/>
        </w:r>
        <w:r w:rsidR="00525EFA" w:rsidRPr="00AB0E6B">
          <w:rPr>
            <w:rStyle w:val="Hyperlink"/>
            <w:noProof/>
          </w:rPr>
          <w:t>Functions of the strategy</w:t>
        </w:r>
        <w:r w:rsidR="00525EFA">
          <w:rPr>
            <w:noProof/>
            <w:webHidden/>
          </w:rPr>
          <w:tab/>
        </w:r>
        <w:r w:rsidR="00525EFA">
          <w:rPr>
            <w:noProof/>
            <w:webHidden/>
          </w:rPr>
          <w:fldChar w:fldCharType="begin"/>
        </w:r>
        <w:r w:rsidR="00525EFA">
          <w:rPr>
            <w:noProof/>
            <w:webHidden/>
          </w:rPr>
          <w:instrText xml:space="preserve"> PAGEREF _Toc9239592 \h </w:instrText>
        </w:r>
        <w:r w:rsidR="00525EFA">
          <w:rPr>
            <w:noProof/>
            <w:webHidden/>
          </w:rPr>
        </w:r>
        <w:r w:rsidR="00525EFA">
          <w:rPr>
            <w:noProof/>
            <w:webHidden/>
          </w:rPr>
          <w:fldChar w:fldCharType="separate"/>
        </w:r>
        <w:r w:rsidR="0002049A">
          <w:rPr>
            <w:noProof/>
            <w:webHidden/>
          </w:rPr>
          <w:t>11</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593" w:history="1">
        <w:r w:rsidR="00525EFA" w:rsidRPr="00AB0E6B">
          <w:rPr>
            <w:rStyle w:val="Hyperlink"/>
            <w:noProof/>
          </w:rPr>
          <w:t>2.6</w:t>
        </w:r>
        <w:r w:rsidR="00525EFA">
          <w:rPr>
            <w:rFonts w:asciiTheme="minorHAnsi" w:eastAsiaTheme="minorEastAsia" w:hAnsiTheme="minorHAnsi" w:cstheme="minorBidi"/>
            <w:noProof/>
            <w:szCs w:val="22"/>
            <w:lang w:eastAsia="en-NZ"/>
          </w:rPr>
          <w:tab/>
        </w:r>
        <w:r w:rsidR="00525EFA" w:rsidRPr="00AB0E6B">
          <w:rPr>
            <w:rStyle w:val="Hyperlink"/>
            <w:noProof/>
          </w:rPr>
          <w:t>Gambling harm needs assessment</w:t>
        </w:r>
        <w:r w:rsidR="00525EFA">
          <w:rPr>
            <w:noProof/>
            <w:webHidden/>
          </w:rPr>
          <w:tab/>
        </w:r>
        <w:r w:rsidR="00525EFA">
          <w:rPr>
            <w:noProof/>
            <w:webHidden/>
          </w:rPr>
          <w:fldChar w:fldCharType="begin"/>
        </w:r>
        <w:r w:rsidR="00525EFA">
          <w:rPr>
            <w:noProof/>
            <w:webHidden/>
          </w:rPr>
          <w:instrText xml:space="preserve"> PAGEREF _Toc9239593 \h </w:instrText>
        </w:r>
        <w:r w:rsidR="00525EFA">
          <w:rPr>
            <w:noProof/>
            <w:webHidden/>
          </w:rPr>
        </w:r>
        <w:r w:rsidR="00525EFA">
          <w:rPr>
            <w:noProof/>
            <w:webHidden/>
          </w:rPr>
          <w:fldChar w:fldCharType="separate"/>
        </w:r>
        <w:r w:rsidR="0002049A">
          <w:rPr>
            <w:noProof/>
            <w:webHidden/>
          </w:rPr>
          <w:t>12</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594" w:history="1">
        <w:r w:rsidR="00525EFA" w:rsidRPr="00AB0E6B">
          <w:rPr>
            <w:rStyle w:val="Hyperlink"/>
            <w:noProof/>
          </w:rPr>
          <w:t>2.7</w:t>
        </w:r>
        <w:r w:rsidR="00525EFA">
          <w:rPr>
            <w:rFonts w:asciiTheme="minorHAnsi" w:eastAsiaTheme="minorEastAsia" w:hAnsiTheme="minorHAnsi" w:cstheme="minorBidi"/>
            <w:noProof/>
            <w:szCs w:val="22"/>
            <w:lang w:eastAsia="en-NZ"/>
          </w:rPr>
          <w:tab/>
        </w:r>
        <w:r w:rsidR="00525EFA" w:rsidRPr="00AB0E6B">
          <w:rPr>
            <w:rStyle w:val="Hyperlink"/>
            <w:noProof/>
          </w:rPr>
          <w:t>Outcomes monitoring</w:t>
        </w:r>
        <w:r w:rsidR="00525EFA">
          <w:rPr>
            <w:noProof/>
            <w:webHidden/>
          </w:rPr>
          <w:tab/>
        </w:r>
        <w:r w:rsidR="00525EFA">
          <w:rPr>
            <w:noProof/>
            <w:webHidden/>
          </w:rPr>
          <w:fldChar w:fldCharType="begin"/>
        </w:r>
        <w:r w:rsidR="00525EFA">
          <w:rPr>
            <w:noProof/>
            <w:webHidden/>
          </w:rPr>
          <w:instrText xml:space="preserve"> PAGEREF _Toc9239594 \h </w:instrText>
        </w:r>
        <w:r w:rsidR="00525EFA">
          <w:rPr>
            <w:noProof/>
            <w:webHidden/>
          </w:rPr>
        </w:r>
        <w:r w:rsidR="00525EFA">
          <w:rPr>
            <w:noProof/>
            <w:webHidden/>
          </w:rPr>
          <w:fldChar w:fldCharType="separate"/>
        </w:r>
        <w:r w:rsidR="0002049A">
          <w:rPr>
            <w:noProof/>
            <w:webHidden/>
          </w:rPr>
          <w:t>13</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595" w:history="1">
        <w:r w:rsidR="00525EFA" w:rsidRPr="00AB0E6B">
          <w:rPr>
            <w:rStyle w:val="Hyperlink"/>
            <w:noProof/>
          </w:rPr>
          <w:t>2.8</w:t>
        </w:r>
        <w:r w:rsidR="00525EFA">
          <w:rPr>
            <w:rFonts w:asciiTheme="minorHAnsi" w:eastAsiaTheme="minorEastAsia" w:hAnsiTheme="minorHAnsi" w:cstheme="minorBidi"/>
            <w:noProof/>
            <w:szCs w:val="22"/>
            <w:lang w:eastAsia="en-NZ"/>
          </w:rPr>
          <w:tab/>
        </w:r>
        <w:r w:rsidR="00525EFA" w:rsidRPr="00AB0E6B">
          <w:rPr>
            <w:rStyle w:val="Hyperlink"/>
            <w:noProof/>
          </w:rPr>
          <w:t>A population-based public health approach</w:t>
        </w:r>
        <w:r w:rsidR="00525EFA">
          <w:rPr>
            <w:noProof/>
            <w:webHidden/>
          </w:rPr>
          <w:tab/>
        </w:r>
        <w:r w:rsidR="00525EFA">
          <w:rPr>
            <w:noProof/>
            <w:webHidden/>
          </w:rPr>
          <w:fldChar w:fldCharType="begin"/>
        </w:r>
        <w:r w:rsidR="00525EFA">
          <w:rPr>
            <w:noProof/>
            <w:webHidden/>
          </w:rPr>
          <w:instrText xml:space="preserve"> PAGEREF _Toc9239595 \h </w:instrText>
        </w:r>
        <w:r w:rsidR="00525EFA">
          <w:rPr>
            <w:noProof/>
            <w:webHidden/>
          </w:rPr>
        </w:r>
        <w:r w:rsidR="00525EFA">
          <w:rPr>
            <w:noProof/>
            <w:webHidden/>
          </w:rPr>
          <w:fldChar w:fldCharType="separate"/>
        </w:r>
        <w:r w:rsidR="0002049A">
          <w:rPr>
            <w:noProof/>
            <w:webHidden/>
          </w:rPr>
          <w:t>15</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596" w:history="1">
        <w:r w:rsidR="00525EFA" w:rsidRPr="00AB0E6B">
          <w:rPr>
            <w:rStyle w:val="Hyperlink"/>
            <w:noProof/>
          </w:rPr>
          <w:t>2.9</w:t>
        </w:r>
        <w:r w:rsidR="00525EFA">
          <w:rPr>
            <w:rFonts w:asciiTheme="minorHAnsi" w:eastAsiaTheme="minorEastAsia" w:hAnsiTheme="minorHAnsi" w:cstheme="minorBidi"/>
            <w:noProof/>
            <w:szCs w:val="22"/>
            <w:lang w:eastAsia="en-NZ"/>
          </w:rPr>
          <w:tab/>
        </w:r>
        <w:r w:rsidR="00525EFA" w:rsidRPr="00AB0E6B">
          <w:rPr>
            <w:rStyle w:val="Hyperlink"/>
            <w:noProof/>
          </w:rPr>
          <w:t>Gambling harm inequality and inequity</w:t>
        </w:r>
        <w:r w:rsidR="00525EFA">
          <w:rPr>
            <w:noProof/>
            <w:webHidden/>
          </w:rPr>
          <w:tab/>
        </w:r>
        <w:r w:rsidR="00525EFA">
          <w:rPr>
            <w:noProof/>
            <w:webHidden/>
          </w:rPr>
          <w:fldChar w:fldCharType="begin"/>
        </w:r>
        <w:r w:rsidR="00525EFA">
          <w:rPr>
            <w:noProof/>
            <w:webHidden/>
          </w:rPr>
          <w:instrText xml:space="preserve"> PAGEREF _Toc9239596 \h </w:instrText>
        </w:r>
        <w:r w:rsidR="00525EFA">
          <w:rPr>
            <w:noProof/>
            <w:webHidden/>
          </w:rPr>
        </w:r>
        <w:r w:rsidR="00525EFA">
          <w:rPr>
            <w:noProof/>
            <w:webHidden/>
          </w:rPr>
          <w:fldChar w:fldCharType="separate"/>
        </w:r>
        <w:r w:rsidR="0002049A">
          <w:rPr>
            <w:noProof/>
            <w:webHidden/>
          </w:rPr>
          <w:t>17</w:t>
        </w:r>
        <w:r w:rsidR="00525EFA">
          <w:rPr>
            <w:noProof/>
            <w:webHidden/>
          </w:rPr>
          <w:fldChar w:fldCharType="end"/>
        </w:r>
      </w:hyperlink>
    </w:p>
    <w:p w:rsidR="00525EFA" w:rsidRDefault="004354CD">
      <w:pPr>
        <w:pStyle w:val="TOC2"/>
        <w:tabs>
          <w:tab w:val="left" w:pos="1320"/>
        </w:tabs>
        <w:rPr>
          <w:rFonts w:asciiTheme="minorHAnsi" w:eastAsiaTheme="minorEastAsia" w:hAnsiTheme="minorHAnsi" w:cstheme="minorBidi"/>
          <w:noProof/>
          <w:szCs w:val="22"/>
          <w:lang w:eastAsia="en-NZ"/>
        </w:rPr>
      </w:pPr>
      <w:hyperlink w:anchor="_Toc9239597" w:history="1">
        <w:r w:rsidR="00525EFA" w:rsidRPr="00AB0E6B">
          <w:rPr>
            <w:rStyle w:val="Hyperlink"/>
            <w:noProof/>
          </w:rPr>
          <w:t>2.10</w:t>
        </w:r>
        <w:r w:rsidR="00525EFA">
          <w:rPr>
            <w:rFonts w:asciiTheme="minorHAnsi" w:eastAsiaTheme="minorEastAsia" w:hAnsiTheme="minorHAnsi" w:cstheme="minorBidi"/>
            <w:noProof/>
            <w:szCs w:val="22"/>
            <w:lang w:eastAsia="en-NZ"/>
          </w:rPr>
          <w:tab/>
        </w:r>
        <w:r w:rsidR="00525EFA" w:rsidRPr="00AB0E6B">
          <w:rPr>
            <w:rStyle w:val="Hyperlink"/>
            <w:noProof/>
          </w:rPr>
          <w:t>Strategic framework  2019/20–2021/22</w:t>
        </w:r>
        <w:r w:rsidR="00525EFA">
          <w:rPr>
            <w:noProof/>
            <w:webHidden/>
          </w:rPr>
          <w:tab/>
        </w:r>
        <w:r w:rsidR="00525EFA">
          <w:rPr>
            <w:noProof/>
            <w:webHidden/>
          </w:rPr>
          <w:fldChar w:fldCharType="begin"/>
        </w:r>
        <w:r w:rsidR="00525EFA">
          <w:rPr>
            <w:noProof/>
            <w:webHidden/>
          </w:rPr>
          <w:instrText xml:space="preserve"> PAGEREF _Toc9239597 \h </w:instrText>
        </w:r>
        <w:r w:rsidR="00525EFA">
          <w:rPr>
            <w:noProof/>
            <w:webHidden/>
          </w:rPr>
        </w:r>
        <w:r w:rsidR="00525EFA">
          <w:rPr>
            <w:noProof/>
            <w:webHidden/>
          </w:rPr>
          <w:fldChar w:fldCharType="separate"/>
        </w:r>
        <w:r w:rsidR="0002049A">
          <w:rPr>
            <w:noProof/>
            <w:webHidden/>
          </w:rPr>
          <w:t>19</w:t>
        </w:r>
        <w:r w:rsidR="00525EFA">
          <w:rPr>
            <w:noProof/>
            <w:webHidden/>
          </w:rPr>
          <w:fldChar w:fldCharType="end"/>
        </w:r>
      </w:hyperlink>
    </w:p>
    <w:p w:rsidR="00525EFA" w:rsidRDefault="004354CD">
      <w:pPr>
        <w:pStyle w:val="TOC2"/>
        <w:tabs>
          <w:tab w:val="left" w:pos="1320"/>
        </w:tabs>
        <w:rPr>
          <w:rFonts w:asciiTheme="minorHAnsi" w:eastAsiaTheme="minorEastAsia" w:hAnsiTheme="minorHAnsi" w:cstheme="minorBidi"/>
          <w:noProof/>
          <w:szCs w:val="22"/>
          <w:lang w:eastAsia="en-NZ"/>
        </w:rPr>
      </w:pPr>
      <w:hyperlink w:anchor="_Toc9239598" w:history="1">
        <w:r w:rsidR="00525EFA" w:rsidRPr="00AB0E6B">
          <w:rPr>
            <w:rStyle w:val="Hyperlink"/>
            <w:noProof/>
          </w:rPr>
          <w:t>2.11</w:t>
        </w:r>
        <w:r w:rsidR="00525EFA">
          <w:rPr>
            <w:rFonts w:asciiTheme="minorHAnsi" w:eastAsiaTheme="minorEastAsia" w:hAnsiTheme="minorHAnsi" w:cstheme="minorBidi"/>
            <w:noProof/>
            <w:szCs w:val="22"/>
            <w:lang w:eastAsia="en-NZ"/>
          </w:rPr>
          <w:tab/>
        </w:r>
        <w:r w:rsidR="00525EFA" w:rsidRPr="00AB0E6B">
          <w:rPr>
            <w:rStyle w:val="Hyperlink"/>
            <w:noProof/>
          </w:rPr>
          <w:t>Outline of each of the strategic objectives</w:t>
        </w:r>
        <w:r w:rsidR="00525EFA">
          <w:rPr>
            <w:noProof/>
            <w:webHidden/>
          </w:rPr>
          <w:tab/>
        </w:r>
        <w:r w:rsidR="00525EFA">
          <w:rPr>
            <w:noProof/>
            <w:webHidden/>
          </w:rPr>
          <w:fldChar w:fldCharType="begin"/>
        </w:r>
        <w:r w:rsidR="00525EFA">
          <w:rPr>
            <w:noProof/>
            <w:webHidden/>
          </w:rPr>
          <w:instrText xml:space="preserve"> PAGEREF _Toc9239598 \h </w:instrText>
        </w:r>
        <w:r w:rsidR="00525EFA">
          <w:rPr>
            <w:noProof/>
            <w:webHidden/>
          </w:rPr>
        </w:r>
        <w:r w:rsidR="00525EFA">
          <w:rPr>
            <w:noProof/>
            <w:webHidden/>
          </w:rPr>
          <w:fldChar w:fldCharType="separate"/>
        </w:r>
        <w:r w:rsidR="0002049A">
          <w:rPr>
            <w:noProof/>
            <w:webHidden/>
          </w:rPr>
          <w:t>21</w:t>
        </w:r>
        <w:r w:rsidR="00525EFA">
          <w:rPr>
            <w:noProof/>
            <w:webHidden/>
          </w:rPr>
          <w:fldChar w:fldCharType="end"/>
        </w:r>
      </w:hyperlink>
    </w:p>
    <w:p w:rsidR="00525EFA" w:rsidRDefault="004354CD">
      <w:pPr>
        <w:pStyle w:val="TOC2"/>
        <w:tabs>
          <w:tab w:val="left" w:pos="1320"/>
        </w:tabs>
        <w:rPr>
          <w:rFonts w:asciiTheme="minorHAnsi" w:eastAsiaTheme="minorEastAsia" w:hAnsiTheme="minorHAnsi" w:cstheme="minorBidi"/>
          <w:noProof/>
          <w:szCs w:val="22"/>
          <w:lang w:eastAsia="en-NZ"/>
        </w:rPr>
      </w:pPr>
      <w:hyperlink w:anchor="_Toc9239599" w:history="1">
        <w:r w:rsidR="00525EFA" w:rsidRPr="00AB0E6B">
          <w:rPr>
            <w:rStyle w:val="Hyperlink"/>
            <w:noProof/>
          </w:rPr>
          <w:t>2.12</w:t>
        </w:r>
        <w:r w:rsidR="00525EFA">
          <w:rPr>
            <w:rFonts w:asciiTheme="minorHAnsi" w:eastAsiaTheme="minorEastAsia" w:hAnsiTheme="minorHAnsi" w:cstheme="minorBidi"/>
            <w:noProof/>
            <w:szCs w:val="22"/>
            <w:lang w:eastAsia="en-NZ"/>
          </w:rPr>
          <w:tab/>
        </w:r>
        <w:r w:rsidR="00525EFA" w:rsidRPr="00AB0E6B">
          <w:rPr>
            <w:rStyle w:val="Hyperlink"/>
            <w:noProof/>
          </w:rPr>
          <w:t>Aligning the strategy with He Korowai Oranga</w:t>
        </w:r>
        <w:r w:rsidR="00525EFA">
          <w:rPr>
            <w:noProof/>
            <w:webHidden/>
          </w:rPr>
          <w:tab/>
        </w:r>
        <w:r w:rsidR="00525EFA">
          <w:rPr>
            <w:noProof/>
            <w:webHidden/>
          </w:rPr>
          <w:fldChar w:fldCharType="begin"/>
        </w:r>
        <w:r w:rsidR="00525EFA">
          <w:rPr>
            <w:noProof/>
            <w:webHidden/>
          </w:rPr>
          <w:instrText xml:space="preserve"> PAGEREF _Toc9239599 \h </w:instrText>
        </w:r>
        <w:r w:rsidR="00525EFA">
          <w:rPr>
            <w:noProof/>
            <w:webHidden/>
          </w:rPr>
        </w:r>
        <w:r w:rsidR="00525EFA">
          <w:rPr>
            <w:noProof/>
            <w:webHidden/>
          </w:rPr>
          <w:fldChar w:fldCharType="separate"/>
        </w:r>
        <w:r w:rsidR="0002049A">
          <w:rPr>
            <w:noProof/>
            <w:webHidden/>
          </w:rPr>
          <w:t>36</w:t>
        </w:r>
        <w:r w:rsidR="00525EFA">
          <w:rPr>
            <w:noProof/>
            <w:webHidden/>
          </w:rPr>
          <w:fldChar w:fldCharType="end"/>
        </w:r>
      </w:hyperlink>
    </w:p>
    <w:p w:rsidR="00525EFA" w:rsidRDefault="004354CD">
      <w:pPr>
        <w:pStyle w:val="TOC2"/>
        <w:tabs>
          <w:tab w:val="left" w:pos="1320"/>
        </w:tabs>
        <w:rPr>
          <w:rFonts w:asciiTheme="minorHAnsi" w:eastAsiaTheme="minorEastAsia" w:hAnsiTheme="minorHAnsi" w:cstheme="minorBidi"/>
          <w:noProof/>
          <w:szCs w:val="22"/>
          <w:lang w:eastAsia="en-NZ"/>
        </w:rPr>
      </w:pPr>
      <w:hyperlink w:anchor="_Toc9239600" w:history="1">
        <w:r w:rsidR="00525EFA" w:rsidRPr="00AB0E6B">
          <w:rPr>
            <w:rStyle w:val="Hyperlink"/>
            <w:noProof/>
          </w:rPr>
          <w:t>2.13</w:t>
        </w:r>
        <w:r w:rsidR="00525EFA">
          <w:rPr>
            <w:rFonts w:asciiTheme="minorHAnsi" w:eastAsiaTheme="minorEastAsia" w:hAnsiTheme="minorHAnsi" w:cstheme="minorBidi"/>
            <w:noProof/>
            <w:szCs w:val="22"/>
            <w:lang w:eastAsia="en-NZ"/>
          </w:rPr>
          <w:tab/>
        </w:r>
        <w:r w:rsidR="00525EFA" w:rsidRPr="00AB0E6B">
          <w:rPr>
            <w:rStyle w:val="Hyperlink"/>
            <w:noProof/>
          </w:rPr>
          <w:t>Aligning the strategy with ‘Ala Mo’ui: Pathways to Pacific Health and Wellbeing 2014–2018</w:t>
        </w:r>
        <w:r w:rsidR="00525EFA">
          <w:rPr>
            <w:noProof/>
            <w:webHidden/>
          </w:rPr>
          <w:tab/>
        </w:r>
        <w:r w:rsidR="00525EFA">
          <w:rPr>
            <w:noProof/>
            <w:webHidden/>
          </w:rPr>
          <w:fldChar w:fldCharType="begin"/>
        </w:r>
        <w:r w:rsidR="00525EFA">
          <w:rPr>
            <w:noProof/>
            <w:webHidden/>
          </w:rPr>
          <w:instrText xml:space="preserve"> PAGEREF _Toc9239600 \h </w:instrText>
        </w:r>
        <w:r w:rsidR="00525EFA">
          <w:rPr>
            <w:noProof/>
            <w:webHidden/>
          </w:rPr>
        </w:r>
        <w:r w:rsidR="00525EFA">
          <w:rPr>
            <w:noProof/>
            <w:webHidden/>
          </w:rPr>
          <w:fldChar w:fldCharType="separate"/>
        </w:r>
        <w:r w:rsidR="0002049A">
          <w:rPr>
            <w:noProof/>
            <w:webHidden/>
          </w:rPr>
          <w:t>41</w:t>
        </w:r>
        <w:r w:rsidR="00525EFA">
          <w:rPr>
            <w:noProof/>
            <w:webHidden/>
          </w:rPr>
          <w:fldChar w:fldCharType="end"/>
        </w:r>
      </w:hyperlink>
    </w:p>
    <w:p w:rsidR="00525EFA" w:rsidRDefault="004354CD">
      <w:pPr>
        <w:pStyle w:val="TOC1"/>
        <w:rPr>
          <w:rFonts w:asciiTheme="minorHAnsi" w:eastAsiaTheme="minorEastAsia" w:hAnsiTheme="minorHAnsi" w:cstheme="minorBidi"/>
          <w:noProof/>
          <w:sz w:val="22"/>
          <w:szCs w:val="22"/>
          <w:lang w:eastAsia="en-NZ"/>
        </w:rPr>
      </w:pPr>
      <w:hyperlink w:anchor="_Toc9239601" w:history="1">
        <w:r w:rsidR="00525EFA" w:rsidRPr="00AB0E6B">
          <w:rPr>
            <w:rStyle w:val="Hyperlink"/>
            <w:rFonts w:ascii="Segoe UI" w:hAnsi="Segoe UI" w:cs="Segoe UI"/>
            <w:noProof/>
          </w:rPr>
          <w:t>3</w:t>
        </w:r>
        <w:r w:rsidR="00525EFA">
          <w:rPr>
            <w:rFonts w:asciiTheme="minorHAnsi" w:eastAsiaTheme="minorEastAsia" w:hAnsiTheme="minorHAnsi" w:cstheme="minorBidi"/>
            <w:noProof/>
            <w:sz w:val="22"/>
            <w:szCs w:val="22"/>
            <w:lang w:eastAsia="en-NZ"/>
          </w:rPr>
          <w:tab/>
        </w:r>
        <w:r w:rsidR="00525EFA" w:rsidRPr="00AB0E6B">
          <w:rPr>
            <w:rStyle w:val="Hyperlink"/>
            <w:rFonts w:ascii="Segoe UI" w:hAnsi="Segoe UI" w:cs="Segoe UI"/>
            <w:noProof/>
          </w:rPr>
          <w:t>Three-year service plan 2019/20–2021/22</w:t>
        </w:r>
        <w:r w:rsidR="00525EFA">
          <w:rPr>
            <w:noProof/>
            <w:webHidden/>
          </w:rPr>
          <w:tab/>
        </w:r>
        <w:r w:rsidR="00525EFA">
          <w:rPr>
            <w:noProof/>
            <w:webHidden/>
          </w:rPr>
          <w:fldChar w:fldCharType="begin"/>
        </w:r>
        <w:r w:rsidR="00525EFA">
          <w:rPr>
            <w:noProof/>
            <w:webHidden/>
          </w:rPr>
          <w:instrText xml:space="preserve"> PAGEREF _Toc9239601 \h </w:instrText>
        </w:r>
        <w:r w:rsidR="00525EFA">
          <w:rPr>
            <w:noProof/>
            <w:webHidden/>
          </w:rPr>
        </w:r>
        <w:r w:rsidR="00525EFA">
          <w:rPr>
            <w:noProof/>
            <w:webHidden/>
          </w:rPr>
          <w:fldChar w:fldCharType="separate"/>
        </w:r>
        <w:r w:rsidR="0002049A">
          <w:rPr>
            <w:noProof/>
            <w:webHidden/>
          </w:rPr>
          <w:t>44</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602" w:history="1">
        <w:r w:rsidR="00525EFA" w:rsidRPr="00AB0E6B">
          <w:rPr>
            <w:rStyle w:val="Hyperlink"/>
            <w:noProof/>
          </w:rPr>
          <w:t>3.1</w:t>
        </w:r>
        <w:r w:rsidR="00525EFA">
          <w:rPr>
            <w:rFonts w:asciiTheme="minorHAnsi" w:eastAsiaTheme="minorEastAsia" w:hAnsiTheme="minorHAnsi" w:cstheme="minorBidi"/>
            <w:noProof/>
            <w:szCs w:val="22"/>
            <w:lang w:eastAsia="en-NZ"/>
          </w:rPr>
          <w:tab/>
        </w:r>
        <w:r w:rsidR="00525EFA" w:rsidRPr="00AB0E6B">
          <w:rPr>
            <w:rStyle w:val="Hyperlink"/>
            <w:noProof/>
          </w:rPr>
          <w:t>Background</w:t>
        </w:r>
        <w:r w:rsidR="00525EFA">
          <w:rPr>
            <w:noProof/>
            <w:webHidden/>
          </w:rPr>
          <w:tab/>
        </w:r>
        <w:r w:rsidR="00525EFA">
          <w:rPr>
            <w:noProof/>
            <w:webHidden/>
          </w:rPr>
          <w:fldChar w:fldCharType="begin"/>
        </w:r>
        <w:r w:rsidR="00525EFA">
          <w:rPr>
            <w:noProof/>
            <w:webHidden/>
          </w:rPr>
          <w:instrText xml:space="preserve"> PAGEREF _Toc9239602 \h </w:instrText>
        </w:r>
        <w:r w:rsidR="00525EFA">
          <w:rPr>
            <w:noProof/>
            <w:webHidden/>
          </w:rPr>
        </w:r>
        <w:r w:rsidR="00525EFA">
          <w:rPr>
            <w:noProof/>
            <w:webHidden/>
          </w:rPr>
          <w:fldChar w:fldCharType="separate"/>
        </w:r>
        <w:r w:rsidR="0002049A">
          <w:rPr>
            <w:noProof/>
            <w:webHidden/>
          </w:rPr>
          <w:t>44</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603" w:history="1">
        <w:r w:rsidR="00525EFA" w:rsidRPr="00AB0E6B">
          <w:rPr>
            <w:rStyle w:val="Hyperlink"/>
            <w:noProof/>
          </w:rPr>
          <w:t>3.2</w:t>
        </w:r>
        <w:r w:rsidR="00525EFA">
          <w:rPr>
            <w:rFonts w:asciiTheme="minorHAnsi" w:eastAsiaTheme="minorEastAsia" w:hAnsiTheme="minorHAnsi" w:cstheme="minorBidi"/>
            <w:noProof/>
            <w:szCs w:val="22"/>
            <w:lang w:eastAsia="en-NZ"/>
          </w:rPr>
          <w:tab/>
        </w:r>
        <w:r w:rsidR="00525EFA" w:rsidRPr="00AB0E6B">
          <w:rPr>
            <w:rStyle w:val="Hyperlink"/>
            <w:noProof/>
          </w:rPr>
          <w:t>Service plan for 2019/20 to 2021/22</w:t>
        </w:r>
        <w:r w:rsidR="00525EFA">
          <w:rPr>
            <w:noProof/>
            <w:webHidden/>
          </w:rPr>
          <w:tab/>
        </w:r>
        <w:r w:rsidR="00525EFA">
          <w:rPr>
            <w:noProof/>
            <w:webHidden/>
          </w:rPr>
          <w:fldChar w:fldCharType="begin"/>
        </w:r>
        <w:r w:rsidR="00525EFA">
          <w:rPr>
            <w:noProof/>
            <w:webHidden/>
          </w:rPr>
          <w:instrText xml:space="preserve"> PAGEREF _Toc9239603 \h </w:instrText>
        </w:r>
        <w:r w:rsidR="00525EFA">
          <w:rPr>
            <w:noProof/>
            <w:webHidden/>
          </w:rPr>
        </w:r>
        <w:r w:rsidR="00525EFA">
          <w:rPr>
            <w:noProof/>
            <w:webHidden/>
          </w:rPr>
          <w:fldChar w:fldCharType="separate"/>
        </w:r>
        <w:r w:rsidR="0002049A">
          <w:rPr>
            <w:noProof/>
            <w:webHidden/>
          </w:rPr>
          <w:t>50</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604" w:history="1">
        <w:r w:rsidR="00525EFA" w:rsidRPr="00AB0E6B">
          <w:rPr>
            <w:rStyle w:val="Hyperlink"/>
            <w:noProof/>
          </w:rPr>
          <w:t>3.3</w:t>
        </w:r>
        <w:r w:rsidR="00525EFA">
          <w:rPr>
            <w:rFonts w:asciiTheme="minorHAnsi" w:eastAsiaTheme="minorEastAsia" w:hAnsiTheme="minorHAnsi" w:cstheme="minorBidi"/>
            <w:noProof/>
            <w:szCs w:val="22"/>
            <w:lang w:eastAsia="en-NZ"/>
          </w:rPr>
          <w:tab/>
        </w:r>
        <w:r w:rsidR="00525EFA" w:rsidRPr="00AB0E6B">
          <w:rPr>
            <w:rStyle w:val="Hyperlink"/>
            <w:noProof/>
          </w:rPr>
          <w:t>Public health services</w:t>
        </w:r>
        <w:r w:rsidR="00525EFA">
          <w:rPr>
            <w:noProof/>
            <w:webHidden/>
          </w:rPr>
          <w:tab/>
        </w:r>
        <w:r w:rsidR="00525EFA">
          <w:rPr>
            <w:noProof/>
            <w:webHidden/>
          </w:rPr>
          <w:fldChar w:fldCharType="begin"/>
        </w:r>
        <w:r w:rsidR="00525EFA">
          <w:rPr>
            <w:noProof/>
            <w:webHidden/>
          </w:rPr>
          <w:instrText xml:space="preserve"> PAGEREF _Toc9239604 \h </w:instrText>
        </w:r>
        <w:r w:rsidR="00525EFA">
          <w:rPr>
            <w:noProof/>
            <w:webHidden/>
          </w:rPr>
        </w:r>
        <w:r w:rsidR="00525EFA">
          <w:rPr>
            <w:noProof/>
            <w:webHidden/>
          </w:rPr>
          <w:fldChar w:fldCharType="separate"/>
        </w:r>
        <w:r w:rsidR="0002049A">
          <w:rPr>
            <w:noProof/>
            <w:webHidden/>
          </w:rPr>
          <w:t>53</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605" w:history="1">
        <w:r w:rsidR="00525EFA" w:rsidRPr="00AB0E6B">
          <w:rPr>
            <w:rStyle w:val="Hyperlink"/>
            <w:noProof/>
          </w:rPr>
          <w:t>3.4</w:t>
        </w:r>
        <w:r w:rsidR="00525EFA">
          <w:rPr>
            <w:rFonts w:asciiTheme="minorHAnsi" w:eastAsiaTheme="minorEastAsia" w:hAnsiTheme="minorHAnsi" w:cstheme="minorBidi"/>
            <w:noProof/>
            <w:szCs w:val="22"/>
            <w:lang w:eastAsia="en-NZ"/>
          </w:rPr>
          <w:tab/>
        </w:r>
        <w:r w:rsidR="00525EFA" w:rsidRPr="00AB0E6B">
          <w:rPr>
            <w:rStyle w:val="Hyperlink"/>
            <w:noProof/>
          </w:rPr>
          <w:t>Intervention services</w:t>
        </w:r>
        <w:r w:rsidR="00525EFA">
          <w:rPr>
            <w:noProof/>
            <w:webHidden/>
          </w:rPr>
          <w:tab/>
        </w:r>
        <w:r w:rsidR="00525EFA">
          <w:rPr>
            <w:noProof/>
            <w:webHidden/>
          </w:rPr>
          <w:fldChar w:fldCharType="begin"/>
        </w:r>
        <w:r w:rsidR="00525EFA">
          <w:rPr>
            <w:noProof/>
            <w:webHidden/>
          </w:rPr>
          <w:instrText xml:space="preserve"> PAGEREF _Toc9239605 \h </w:instrText>
        </w:r>
        <w:r w:rsidR="00525EFA">
          <w:rPr>
            <w:noProof/>
            <w:webHidden/>
          </w:rPr>
        </w:r>
        <w:r w:rsidR="00525EFA">
          <w:rPr>
            <w:noProof/>
            <w:webHidden/>
          </w:rPr>
          <w:fldChar w:fldCharType="separate"/>
        </w:r>
        <w:r w:rsidR="0002049A">
          <w:rPr>
            <w:noProof/>
            <w:webHidden/>
          </w:rPr>
          <w:t>57</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606" w:history="1">
        <w:r w:rsidR="00525EFA" w:rsidRPr="00AB0E6B">
          <w:rPr>
            <w:rStyle w:val="Hyperlink"/>
            <w:noProof/>
          </w:rPr>
          <w:t>3.5</w:t>
        </w:r>
        <w:r w:rsidR="00525EFA">
          <w:rPr>
            <w:rFonts w:asciiTheme="minorHAnsi" w:eastAsiaTheme="minorEastAsia" w:hAnsiTheme="minorHAnsi" w:cstheme="minorBidi"/>
            <w:noProof/>
            <w:szCs w:val="22"/>
            <w:lang w:eastAsia="en-NZ"/>
          </w:rPr>
          <w:tab/>
        </w:r>
        <w:r w:rsidR="00525EFA" w:rsidRPr="00AB0E6B">
          <w:rPr>
            <w:rStyle w:val="Hyperlink"/>
            <w:noProof/>
          </w:rPr>
          <w:t>Research and evaluation</w:t>
        </w:r>
        <w:r w:rsidR="00525EFA">
          <w:rPr>
            <w:noProof/>
            <w:webHidden/>
          </w:rPr>
          <w:tab/>
        </w:r>
        <w:r w:rsidR="00525EFA">
          <w:rPr>
            <w:noProof/>
            <w:webHidden/>
          </w:rPr>
          <w:fldChar w:fldCharType="begin"/>
        </w:r>
        <w:r w:rsidR="00525EFA">
          <w:rPr>
            <w:noProof/>
            <w:webHidden/>
          </w:rPr>
          <w:instrText xml:space="preserve"> PAGEREF _Toc9239606 \h </w:instrText>
        </w:r>
        <w:r w:rsidR="00525EFA">
          <w:rPr>
            <w:noProof/>
            <w:webHidden/>
          </w:rPr>
        </w:r>
        <w:r w:rsidR="00525EFA">
          <w:rPr>
            <w:noProof/>
            <w:webHidden/>
          </w:rPr>
          <w:fldChar w:fldCharType="separate"/>
        </w:r>
        <w:r w:rsidR="0002049A">
          <w:rPr>
            <w:noProof/>
            <w:webHidden/>
          </w:rPr>
          <w:t>60</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607" w:history="1">
        <w:r w:rsidR="00525EFA" w:rsidRPr="00AB0E6B">
          <w:rPr>
            <w:rStyle w:val="Hyperlink"/>
            <w:noProof/>
          </w:rPr>
          <w:t>3.6</w:t>
        </w:r>
        <w:r w:rsidR="00525EFA">
          <w:rPr>
            <w:rFonts w:asciiTheme="minorHAnsi" w:eastAsiaTheme="minorEastAsia" w:hAnsiTheme="minorHAnsi" w:cstheme="minorBidi"/>
            <w:noProof/>
            <w:szCs w:val="22"/>
            <w:lang w:eastAsia="en-NZ"/>
          </w:rPr>
          <w:tab/>
        </w:r>
        <w:r w:rsidR="00525EFA" w:rsidRPr="00AB0E6B">
          <w:rPr>
            <w:rStyle w:val="Hyperlink"/>
            <w:noProof/>
          </w:rPr>
          <w:t>New service and innovation pilots</w:t>
        </w:r>
        <w:r w:rsidR="00525EFA">
          <w:rPr>
            <w:noProof/>
            <w:webHidden/>
          </w:rPr>
          <w:tab/>
        </w:r>
        <w:r w:rsidR="00525EFA">
          <w:rPr>
            <w:noProof/>
            <w:webHidden/>
          </w:rPr>
          <w:fldChar w:fldCharType="begin"/>
        </w:r>
        <w:r w:rsidR="00525EFA">
          <w:rPr>
            <w:noProof/>
            <w:webHidden/>
          </w:rPr>
          <w:instrText xml:space="preserve"> PAGEREF _Toc9239607 \h </w:instrText>
        </w:r>
        <w:r w:rsidR="00525EFA">
          <w:rPr>
            <w:noProof/>
            <w:webHidden/>
          </w:rPr>
        </w:r>
        <w:r w:rsidR="00525EFA">
          <w:rPr>
            <w:noProof/>
            <w:webHidden/>
          </w:rPr>
          <w:fldChar w:fldCharType="separate"/>
        </w:r>
        <w:r w:rsidR="0002049A">
          <w:rPr>
            <w:noProof/>
            <w:webHidden/>
          </w:rPr>
          <w:t>62</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608" w:history="1">
        <w:r w:rsidR="00525EFA" w:rsidRPr="00AB0E6B">
          <w:rPr>
            <w:rStyle w:val="Hyperlink"/>
            <w:noProof/>
          </w:rPr>
          <w:t>3.7</w:t>
        </w:r>
        <w:r w:rsidR="00525EFA">
          <w:rPr>
            <w:rFonts w:asciiTheme="minorHAnsi" w:eastAsiaTheme="minorEastAsia" w:hAnsiTheme="minorHAnsi" w:cstheme="minorBidi"/>
            <w:noProof/>
            <w:szCs w:val="22"/>
            <w:lang w:eastAsia="en-NZ"/>
          </w:rPr>
          <w:tab/>
        </w:r>
        <w:r w:rsidR="00525EFA" w:rsidRPr="00AB0E6B">
          <w:rPr>
            <w:rStyle w:val="Hyperlink"/>
            <w:noProof/>
          </w:rPr>
          <w:t>Ministry of Health operating costs</w:t>
        </w:r>
        <w:r w:rsidR="00525EFA">
          <w:rPr>
            <w:noProof/>
            <w:webHidden/>
          </w:rPr>
          <w:tab/>
        </w:r>
        <w:r w:rsidR="00525EFA">
          <w:rPr>
            <w:noProof/>
            <w:webHidden/>
          </w:rPr>
          <w:fldChar w:fldCharType="begin"/>
        </w:r>
        <w:r w:rsidR="00525EFA">
          <w:rPr>
            <w:noProof/>
            <w:webHidden/>
          </w:rPr>
          <w:instrText xml:space="preserve"> PAGEREF _Toc9239608 \h </w:instrText>
        </w:r>
        <w:r w:rsidR="00525EFA">
          <w:rPr>
            <w:noProof/>
            <w:webHidden/>
          </w:rPr>
        </w:r>
        <w:r w:rsidR="00525EFA">
          <w:rPr>
            <w:noProof/>
            <w:webHidden/>
          </w:rPr>
          <w:fldChar w:fldCharType="separate"/>
        </w:r>
        <w:r w:rsidR="0002049A">
          <w:rPr>
            <w:noProof/>
            <w:webHidden/>
          </w:rPr>
          <w:t>64</w:t>
        </w:r>
        <w:r w:rsidR="00525EFA">
          <w:rPr>
            <w:noProof/>
            <w:webHidden/>
          </w:rPr>
          <w:fldChar w:fldCharType="end"/>
        </w:r>
      </w:hyperlink>
    </w:p>
    <w:p w:rsidR="00525EFA" w:rsidRDefault="004354CD">
      <w:pPr>
        <w:pStyle w:val="TOC1"/>
        <w:rPr>
          <w:rFonts w:asciiTheme="minorHAnsi" w:eastAsiaTheme="minorEastAsia" w:hAnsiTheme="minorHAnsi" w:cstheme="minorBidi"/>
          <w:noProof/>
          <w:sz w:val="22"/>
          <w:szCs w:val="22"/>
          <w:lang w:eastAsia="en-NZ"/>
        </w:rPr>
      </w:pPr>
      <w:hyperlink w:anchor="_Toc9239609" w:history="1">
        <w:r w:rsidR="00525EFA" w:rsidRPr="00AB0E6B">
          <w:rPr>
            <w:rStyle w:val="Hyperlink"/>
            <w:rFonts w:ascii="Segoe UI" w:hAnsi="Segoe UI" w:cs="Segoe UI"/>
            <w:noProof/>
          </w:rPr>
          <w:t>4</w:t>
        </w:r>
        <w:r w:rsidR="00525EFA">
          <w:rPr>
            <w:rFonts w:asciiTheme="minorHAnsi" w:eastAsiaTheme="minorEastAsia" w:hAnsiTheme="minorHAnsi" w:cstheme="minorBidi"/>
            <w:noProof/>
            <w:sz w:val="22"/>
            <w:szCs w:val="22"/>
            <w:lang w:eastAsia="en-NZ"/>
          </w:rPr>
          <w:tab/>
        </w:r>
        <w:r w:rsidR="00525EFA" w:rsidRPr="00AB0E6B">
          <w:rPr>
            <w:rStyle w:val="Hyperlink"/>
            <w:rFonts w:ascii="Segoe UI" w:hAnsi="Segoe UI" w:cs="Segoe UI"/>
            <w:noProof/>
          </w:rPr>
          <w:t>Levy rates for 2019/20–2021/22</w:t>
        </w:r>
        <w:r w:rsidR="00525EFA">
          <w:rPr>
            <w:noProof/>
            <w:webHidden/>
          </w:rPr>
          <w:tab/>
        </w:r>
        <w:r w:rsidR="00525EFA">
          <w:rPr>
            <w:noProof/>
            <w:webHidden/>
          </w:rPr>
          <w:fldChar w:fldCharType="begin"/>
        </w:r>
        <w:r w:rsidR="00525EFA">
          <w:rPr>
            <w:noProof/>
            <w:webHidden/>
          </w:rPr>
          <w:instrText xml:space="preserve"> PAGEREF _Toc9239609 \h </w:instrText>
        </w:r>
        <w:r w:rsidR="00525EFA">
          <w:rPr>
            <w:noProof/>
            <w:webHidden/>
          </w:rPr>
        </w:r>
        <w:r w:rsidR="00525EFA">
          <w:rPr>
            <w:noProof/>
            <w:webHidden/>
          </w:rPr>
          <w:fldChar w:fldCharType="separate"/>
        </w:r>
        <w:r w:rsidR="0002049A">
          <w:rPr>
            <w:noProof/>
            <w:webHidden/>
          </w:rPr>
          <w:t>66</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610" w:history="1">
        <w:r w:rsidR="00525EFA" w:rsidRPr="00AB0E6B">
          <w:rPr>
            <w:rStyle w:val="Hyperlink"/>
            <w:noProof/>
          </w:rPr>
          <w:t>4.1</w:t>
        </w:r>
        <w:r w:rsidR="00525EFA">
          <w:rPr>
            <w:rFonts w:asciiTheme="minorHAnsi" w:eastAsiaTheme="minorEastAsia" w:hAnsiTheme="minorHAnsi" w:cstheme="minorBidi"/>
            <w:noProof/>
            <w:szCs w:val="22"/>
            <w:lang w:eastAsia="en-NZ"/>
          </w:rPr>
          <w:tab/>
        </w:r>
        <w:r w:rsidR="00525EFA" w:rsidRPr="00AB0E6B">
          <w:rPr>
            <w:rStyle w:val="Hyperlink"/>
            <w:noProof/>
          </w:rPr>
          <w:t>Background</w:t>
        </w:r>
        <w:r w:rsidR="00525EFA">
          <w:rPr>
            <w:noProof/>
            <w:webHidden/>
          </w:rPr>
          <w:tab/>
        </w:r>
        <w:r w:rsidR="00525EFA">
          <w:rPr>
            <w:noProof/>
            <w:webHidden/>
          </w:rPr>
          <w:fldChar w:fldCharType="begin"/>
        </w:r>
        <w:r w:rsidR="00525EFA">
          <w:rPr>
            <w:noProof/>
            <w:webHidden/>
          </w:rPr>
          <w:instrText xml:space="preserve"> PAGEREF _Toc9239610 \h </w:instrText>
        </w:r>
        <w:r w:rsidR="00525EFA">
          <w:rPr>
            <w:noProof/>
            <w:webHidden/>
          </w:rPr>
        </w:r>
        <w:r w:rsidR="00525EFA">
          <w:rPr>
            <w:noProof/>
            <w:webHidden/>
          </w:rPr>
          <w:fldChar w:fldCharType="separate"/>
        </w:r>
        <w:r w:rsidR="0002049A">
          <w:rPr>
            <w:noProof/>
            <w:webHidden/>
          </w:rPr>
          <w:t>66</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611" w:history="1">
        <w:r w:rsidR="00525EFA" w:rsidRPr="00AB0E6B">
          <w:rPr>
            <w:rStyle w:val="Hyperlink"/>
            <w:noProof/>
          </w:rPr>
          <w:t>4.2</w:t>
        </w:r>
        <w:r w:rsidR="00525EFA">
          <w:rPr>
            <w:rFonts w:asciiTheme="minorHAnsi" w:eastAsiaTheme="minorEastAsia" w:hAnsiTheme="minorHAnsi" w:cstheme="minorBidi"/>
            <w:noProof/>
            <w:szCs w:val="22"/>
            <w:lang w:eastAsia="en-NZ"/>
          </w:rPr>
          <w:tab/>
        </w:r>
        <w:r w:rsidR="00525EFA" w:rsidRPr="00AB0E6B">
          <w:rPr>
            <w:rStyle w:val="Hyperlink"/>
            <w:noProof/>
          </w:rPr>
          <w:t>Process for setting the levy rates</w:t>
        </w:r>
        <w:r w:rsidR="00525EFA">
          <w:rPr>
            <w:noProof/>
            <w:webHidden/>
          </w:rPr>
          <w:tab/>
        </w:r>
        <w:r w:rsidR="00525EFA">
          <w:rPr>
            <w:noProof/>
            <w:webHidden/>
          </w:rPr>
          <w:fldChar w:fldCharType="begin"/>
        </w:r>
        <w:r w:rsidR="00525EFA">
          <w:rPr>
            <w:noProof/>
            <w:webHidden/>
          </w:rPr>
          <w:instrText xml:space="preserve"> PAGEREF _Toc9239611 \h </w:instrText>
        </w:r>
        <w:r w:rsidR="00525EFA">
          <w:rPr>
            <w:noProof/>
            <w:webHidden/>
          </w:rPr>
        </w:r>
        <w:r w:rsidR="00525EFA">
          <w:rPr>
            <w:noProof/>
            <w:webHidden/>
          </w:rPr>
          <w:fldChar w:fldCharType="separate"/>
        </w:r>
        <w:r w:rsidR="0002049A">
          <w:rPr>
            <w:noProof/>
            <w:webHidden/>
          </w:rPr>
          <w:t>66</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612" w:history="1">
        <w:r w:rsidR="00525EFA" w:rsidRPr="00AB0E6B">
          <w:rPr>
            <w:rStyle w:val="Hyperlink"/>
            <w:noProof/>
          </w:rPr>
          <w:t>4.3</w:t>
        </w:r>
        <w:r w:rsidR="00525EFA">
          <w:rPr>
            <w:rFonts w:asciiTheme="minorHAnsi" w:eastAsiaTheme="minorEastAsia" w:hAnsiTheme="minorHAnsi" w:cstheme="minorBidi"/>
            <w:noProof/>
            <w:szCs w:val="22"/>
            <w:lang w:eastAsia="en-NZ"/>
          </w:rPr>
          <w:tab/>
        </w:r>
        <w:r w:rsidR="00525EFA" w:rsidRPr="00AB0E6B">
          <w:rPr>
            <w:rStyle w:val="Hyperlink"/>
            <w:noProof/>
          </w:rPr>
          <w:t>The levy formula</w:t>
        </w:r>
        <w:r w:rsidR="00525EFA">
          <w:rPr>
            <w:noProof/>
            <w:webHidden/>
          </w:rPr>
          <w:tab/>
        </w:r>
        <w:r w:rsidR="00525EFA">
          <w:rPr>
            <w:noProof/>
            <w:webHidden/>
          </w:rPr>
          <w:fldChar w:fldCharType="begin"/>
        </w:r>
        <w:r w:rsidR="00525EFA">
          <w:rPr>
            <w:noProof/>
            <w:webHidden/>
          </w:rPr>
          <w:instrText xml:space="preserve"> PAGEREF _Toc9239612 \h </w:instrText>
        </w:r>
        <w:r w:rsidR="00525EFA">
          <w:rPr>
            <w:noProof/>
            <w:webHidden/>
          </w:rPr>
        </w:r>
        <w:r w:rsidR="00525EFA">
          <w:rPr>
            <w:noProof/>
            <w:webHidden/>
          </w:rPr>
          <w:fldChar w:fldCharType="separate"/>
        </w:r>
        <w:r w:rsidR="0002049A">
          <w:rPr>
            <w:noProof/>
            <w:webHidden/>
          </w:rPr>
          <w:t>67</w:t>
        </w:r>
        <w:r w:rsidR="00525EFA">
          <w:rPr>
            <w:noProof/>
            <w:webHidden/>
          </w:rPr>
          <w:fldChar w:fldCharType="end"/>
        </w:r>
      </w:hyperlink>
    </w:p>
    <w:p w:rsidR="00525EFA" w:rsidRDefault="004354CD">
      <w:pPr>
        <w:pStyle w:val="TOC2"/>
        <w:tabs>
          <w:tab w:val="left" w:pos="1134"/>
        </w:tabs>
        <w:rPr>
          <w:rFonts w:asciiTheme="minorHAnsi" w:eastAsiaTheme="minorEastAsia" w:hAnsiTheme="minorHAnsi" w:cstheme="minorBidi"/>
          <w:noProof/>
          <w:szCs w:val="22"/>
          <w:lang w:eastAsia="en-NZ"/>
        </w:rPr>
      </w:pPr>
      <w:hyperlink w:anchor="_Toc9239613" w:history="1">
        <w:r w:rsidR="00525EFA" w:rsidRPr="00AB0E6B">
          <w:rPr>
            <w:rStyle w:val="Hyperlink"/>
            <w:noProof/>
          </w:rPr>
          <w:t>4.4</w:t>
        </w:r>
        <w:r w:rsidR="00525EFA">
          <w:rPr>
            <w:rFonts w:asciiTheme="minorHAnsi" w:eastAsiaTheme="minorEastAsia" w:hAnsiTheme="minorHAnsi" w:cstheme="minorBidi"/>
            <w:noProof/>
            <w:szCs w:val="22"/>
            <w:lang w:eastAsia="en-NZ"/>
          </w:rPr>
          <w:tab/>
        </w:r>
        <w:r w:rsidR="00525EFA" w:rsidRPr="00AB0E6B">
          <w:rPr>
            <w:rStyle w:val="Hyperlink"/>
            <w:noProof/>
          </w:rPr>
          <w:t>Levy rates</w:t>
        </w:r>
        <w:r w:rsidR="00525EFA">
          <w:rPr>
            <w:noProof/>
            <w:webHidden/>
          </w:rPr>
          <w:tab/>
        </w:r>
        <w:r w:rsidR="00525EFA">
          <w:rPr>
            <w:noProof/>
            <w:webHidden/>
          </w:rPr>
          <w:fldChar w:fldCharType="begin"/>
        </w:r>
        <w:r w:rsidR="00525EFA">
          <w:rPr>
            <w:noProof/>
            <w:webHidden/>
          </w:rPr>
          <w:instrText xml:space="preserve"> PAGEREF _Toc9239613 \h </w:instrText>
        </w:r>
        <w:r w:rsidR="00525EFA">
          <w:rPr>
            <w:noProof/>
            <w:webHidden/>
          </w:rPr>
        </w:r>
        <w:r w:rsidR="00525EFA">
          <w:rPr>
            <w:noProof/>
            <w:webHidden/>
          </w:rPr>
          <w:fldChar w:fldCharType="separate"/>
        </w:r>
        <w:r w:rsidR="0002049A">
          <w:rPr>
            <w:noProof/>
            <w:webHidden/>
          </w:rPr>
          <w:t>72</w:t>
        </w:r>
        <w:r w:rsidR="00525EFA">
          <w:rPr>
            <w:noProof/>
            <w:webHidden/>
          </w:rPr>
          <w:fldChar w:fldCharType="end"/>
        </w:r>
      </w:hyperlink>
    </w:p>
    <w:p w:rsidR="00525EFA" w:rsidRDefault="004354CD">
      <w:pPr>
        <w:pStyle w:val="TOC1"/>
        <w:rPr>
          <w:rFonts w:asciiTheme="minorHAnsi" w:eastAsiaTheme="minorEastAsia" w:hAnsiTheme="minorHAnsi" w:cstheme="minorBidi"/>
          <w:noProof/>
          <w:sz w:val="22"/>
          <w:szCs w:val="22"/>
          <w:lang w:eastAsia="en-NZ"/>
        </w:rPr>
      </w:pPr>
      <w:hyperlink w:anchor="_Toc9239614" w:history="1">
        <w:r w:rsidR="00525EFA" w:rsidRPr="00AB0E6B">
          <w:rPr>
            <w:rStyle w:val="Hyperlink"/>
            <w:rFonts w:ascii="Segoe UI" w:hAnsi="Segoe UI" w:cs="Segoe UI"/>
            <w:noProof/>
          </w:rPr>
          <w:t>References</w:t>
        </w:r>
        <w:r w:rsidR="00525EFA">
          <w:rPr>
            <w:noProof/>
            <w:webHidden/>
          </w:rPr>
          <w:tab/>
        </w:r>
        <w:r w:rsidR="00525EFA">
          <w:rPr>
            <w:noProof/>
            <w:webHidden/>
          </w:rPr>
          <w:fldChar w:fldCharType="begin"/>
        </w:r>
        <w:r w:rsidR="00525EFA">
          <w:rPr>
            <w:noProof/>
            <w:webHidden/>
          </w:rPr>
          <w:instrText xml:space="preserve"> PAGEREF _Toc9239614 \h </w:instrText>
        </w:r>
        <w:r w:rsidR="00525EFA">
          <w:rPr>
            <w:noProof/>
            <w:webHidden/>
          </w:rPr>
        </w:r>
        <w:r w:rsidR="00525EFA">
          <w:rPr>
            <w:noProof/>
            <w:webHidden/>
          </w:rPr>
          <w:fldChar w:fldCharType="separate"/>
        </w:r>
        <w:r w:rsidR="0002049A">
          <w:rPr>
            <w:noProof/>
            <w:webHidden/>
          </w:rPr>
          <w:t>74</w:t>
        </w:r>
        <w:r w:rsidR="00525EFA">
          <w:rPr>
            <w:noProof/>
            <w:webHidden/>
          </w:rPr>
          <w:fldChar w:fldCharType="end"/>
        </w:r>
      </w:hyperlink>
    </w:p>
    <w:p w:rsidR="00525EFA" w:rsidRDefault="004354CD">
      <w:pPr>
        <w:pStyle w:val="TOC1"/>
        <w:rPr>
          <w:rFonts w:asciiTheme="minorHAnsi" w:eastAsiaTheme="minorEastAsia" w:hAnsiTheme="minorHAnsi" w:cstheme="minorBidi"/>
          <w:noProof/>
          <w:sz w:val="22"/>
          <w:szCs w:val="22"/>
          <w:lang w:eastAsia="en-NZ"/>
        </w:rPr>
      </w:pPr>
      <w:hyperlink w:anchor="_Toc9239615" w:history="1">
        <w:r w:rsidR="00525EFA" w:rsidRPr="00AB0E6B">
          <w:rPr>
            <w:rStyle w:val="Hyperlink"/>
            <w:rFonts w:ascii="Segoe UI" w:hAnsi="Segoe UI" w:cs="Segoe UI"/>
            <w:noProof/>
          </w:rPr>
          <w:t>List of abbreviations</w:t>
        </w:r>
        <w:r w:rsidR="00525EFA">
          <w:rPr>
            <w:noProof/>
            <w:webHidden/>
          </w:rPr>
          <w:tab/>
        </w:r>
        <w:r w:rsidR="00525EFA">
          <w:rPr>
            <w:noProof/>
            <w:webHidden/>
          </w:rPr>
          <w:fldChar w:fldCharType="begin"/>
        </w:r>
        <w:r w:rsidR="00525EFA">
          <w:rPr>
            <w:noProof/>
            <w:webHidden/>
          </w:rPr>
          <w:instrText xml:space="preserve"> PAGEREF _Toc9239615 \h </w:instrText>
        </w:r>
        <w:r w:rsidR="00525EFA">
          <w:rPr>
            <w:noProof/>
            <w:webHidden/>
          </w:rPr>
        </w:r>
        <w:r w:rsidR="00525EFA">
          <w:rPr>
            <w:noProof/>
            <w:webHidden/>
          </w:rPr>
          <w:fldChar w:fldCharType="separate"/>
        </w:r>
        <w:r w:rsidR="0002049A">
          <w:rPr>
            <w:noProof/>
            <w:webHidden/>
          </w:rPr>
          <w:t>76</w:t>
        </w:r>
        <w:r w:rsidR="00525EFA">
          <w:rPr>
            <w:noProof/>
            <w:webHidden/>
          </w:rPr>
          <w:fldChar w:fldCharType="end"/>
        </w:r>
      </w:hyperlink>
    </w:p>
    <w:p w:rsidR="00F776F5" w:rsidRDefault="00E94F8C" w:rsidP="00F603BE">
      <w:pPr>
        <w:rPr>
          <w:rFonts w:ascii="Segoe UI Semibold" w:hAnsi="Segoe UI Semibold"/>
          <w:szCs w:val="21"/>
        </w:rPr>
      </w:pPr>
      <w:r>
        <w:rPr>
          <w:rFonts w:ascii="Segoe UI Semibold" w:hAnsi="Segoe UI Semibold"/>
          <w:sz w:val="24"/>
          <w:szCs w:val="21"/>
        </w:rPr>
        <w:fldChar w:fldCharType="end"/>
      </w:r>
    </w:p>
    <w:p w:rsidR="00F603BE" w:rsidRPr="00EA3B9A" w:rsidRDefault="00F603BE" w:rsidP="00F603BE">
      <w:pPr>
        <w:rPr>
          <w:b/>
        </w:rPr>
      </w:pPr>
      <w:r>
        <w:rPr>
          <w:b/>
        </w:rPr>
        <w:t>List of tables</w:t>
      </w:r>
    </w:p>
    <w:p w:rsidR="00256D05" w:rsidRDefault="00F603BE">
      <w:pPr>
        <w:pStyle w:val="TableofFigures"/>
        <w:tabs>
          <w:tab w:val="right" w:leader="dot" w:pos="7928"/>
        </w:tabs>
        <w:rPr>
          <w:rFonts w:asciiTheme="minorHAnsi" w:eastAsiaTheme="minorEastAsia" w:hAnsiTheme="minorHAnsi" w:cstheme="minorBidi"/>
          <w:noProof/>
          <w:sz w:val="22"/>
          <w:szCs w:val="22"/>
          <w:lang w:eastAsia="en-NZ"/>
        </w:rPr>
      </w:pPr>
      <w:r>
        <w:rPr>
          <w:b/>
        </w:rPr>
        <w:fldChar w:fldCharType="begin"/>
      </w:r>
      <w:r>
        <w:rPr>
          <w:b/>
        </w:rPr>
        <w:instrText xml:space="preserve"> TOC \h \z \c "Table" </w:instrText>
      </w:r>
      <w:r>
        <w:rPr>
          <w:b/>
        </w:rPr>
        <w:fldChar w:fldCharType="separate"/>
      </w:r>
      <w:hyperlink w:anchor="_Toc8398919" w:history="1">
        <w:r w:rsidR="00256D05" w:rsidRPr="0078348D">
          <w:rPr>
            <w:rStyle w:val="Hyperlink"/>
            <w:noProof/>
          </w:rPr>
          <w:t>Table 1: Objective 1 priorities for action</w:t>
        </w:r>
        <w:r w:rsidR="00256D05">
          <w:rPr>
            <w:noProof/>
            <w:webHidden/>
          </w:rPr>
          <w:tab/>
        </w:r>
        <w:r w:rsidR="00256D05">
          <w:rPr>
            <w:noProof/>
            <w:webHidden/>
          </w:rPr>
          <w:fldChar w:fldCharType="begin"/>
        </w:r>
        <w:r w:rsidR="00256D05">
          <w:rPr>
            <w:noProof/>
            <w:webHidden/>
          </w:rPr>
          <w:instrText xml:space="preserve"> PAGEREF _Toc8398919 \h </w:instrText>
        </w:r>
        <w:r w:rsidR="00256D05">
          <w:rPr>
            <w:noProof/>
            <w:webHidden/>
          </w:rPr>
        </w:r>
        <w:r w:rsidR="00256D05">
          <w:rPr>
            <w:noProof/>
            <w:webHidden/>
          </w:rPr>
          <w:fldChar w:fldCharType="separate"/>
        </w:r>
        <w:r w:rsidR="0002049A">
          <w:rPr>
            <w:noProof/>
            <w:webHidden/>
          </w:rPr>
          <w:t>22</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20" w:history="1">
        <w:r w:rsidR="00256D05" w:rsidRPr="0078348D">
          <w:rPr>
            <w:rStyle w:val="Hyperlink"/>
            <w:noProof/>
          </w:rPr>
          <w:t>Table 2: Objective 2 priorities for action</w:t>
        </w:r>
        <w:r w:rsidR="00256D05">
          <w:rPr>
            <w:noProof/>
            <w:webHidden/>
          </w:rPr>
          <w:tab/>
        </w:r>
        <w:r w:rsidR="00256D05">
          <w:rPr>
            <w:noProof/>
            <w:webHidden/>
          </w:rPr>
          <w:fldChar w:fldCharType="begin"/>
        </w:r>
        <w:r w:rsidR="00256D05">
          <w:rPr>
            <w:noProof/>
            <w:webHidden/>
          </w:rPr>
          <w:instrText xml:space="preserve"> PAGEREF _Toc8398920 \h </w:instrText>
        </w:r>
        <w:r w:rsidR="00256D05">
          <w:rPr>
            <w:noProof/>
            <w:webHidden/>
          </w:rPr>
        </w:r>
        <w:r w:rsidR="00256D05">
          <w:rPr>
            <w:noProof/>
            <w:webHidden/>
          </w:rPr>
          <w:fldChar w:fldCharType="separate"/>
        </w:r>
        <w:r w:rsidR="0002049A">
          <w:rPr>
            <w:noProof/>
            <w:webHidden/>
          </w:rPr>
          <w:t>23</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21" w:history="1">
        <w:r w:rsidR="00256D05" w:rsidRPr="0078348D">
          <w:rPr>
            <w:rStyle w:val="Hyperlink"/>
            <w:noProof/>
          </w:rPr>
          <w:t>Table 3: Objective 3 priorities for action</w:t>
        </w:r>
        <w:r w:rsidR="00256D05">
          <w:rPr>
            <w:noProof/>
            <w:webHidden/>
          </w:rPr>
          <w:tab/>
        </w:r>
        <w:r w:rsidR="00256D05">
          <w:rPr>
            <w:noProof/>
            <w:webHidden/>
          </w:rPr>
          <w:fldChar w:fldCharType="begin"/>
        </w:r>
        <w:r w:rsidR="00256D05">
          <w:rPr>
            <w:noProof/>
            <w:webHidden/>
          </w:rPr>
          <w:instrText xml:space="preserve"> PAGEREF _Toc8398921 \h </w:instrText>
        </w:r>
        <w:r w:rsidR="00256D05">
          <w:rPr>
            <w:noProof/>
            <w:webHidden/>
          </w:rPr>
        </w:r>
        <w:r w:rsidR="00256D05">
          <w:rPr>
            <w:noProof/>
            <w:webHidden/>
          </w:rPr>
          <w:fldChar w:fldCharType="separate"/>
        </w:r>
        <w:r w:rsidR="0002049A">
          <w:rPr>
            <w:noProof/>
            <w:webHidden/>
          </w:rPr>
          <w:t>24</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22" w:history="1">
        <w:r w:rsidR="00256D05" w:rsidRPr="0078348D">
          <w:rPr>
            <w:rStyle w:val="Hyperlink"/>
            <w:noProof/>
          </w:rPr>
          <w:t>Table 4: Objective 4 priorities for action</w:t>
        </w:r>
        <w:r w:rsidR="00256D05">
          <w:rPr>
            <w:noProof/>
            <w:webHidden/>
          </w:rPr>
          <w:tab/>
        </w:r>
        <w:r w:rsidR="00256D05">
          <w:rPr>
            <w:noProof/>
            <w:webHidden/>
          </w:rPr>
          <w:fldChar w:fldCharType="begin"/>
        </w:r>
        <w:r w:rsidR="00256D05">
          <w:rPr>
            <w:noProof/>
            <w:webHidden/>
          </w:rPr>
          <w:instrText xml:space="preserve"> PAGEREF _Toc8398922 \h </w:instrText>
        </w:r>
        <w:r w:rsidR="00256D05">
          <w:rPr>
            <w:noProof/>
            <w:webHidden/>
          </w:rPr>
        </w:r>
        <w:r w:rsidR="00256D05">
          <w:rPr>
            <w:noProof/>
            <w:webHidden/>
          </w:rPr>
          <w:fldChar w:fldCharType="separate"/>
        </w:r>
        <w:r w:rsidR="0002049A">
          <w:rPr>
            <w:noProof/>
            <w:webHidden/>
          </w:rPr>
          <w:t>25</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23" w:history="1">
        <w:r w:rsidR="00256D05" w:rsidRPr="0078348D">
          <w:rPr>
            <w:rStyle w:val="Hyperlink"/>
            <w:noProof/>
          </w:rPr>
          <w:t>Table 5: Objective 5 priorities for action</w:t>
        </w:r>
        <w:r w:rsidR="00256D05">
          <w:rPr>
            <w:noProof/>
            <w:webHidden/>
          </w:rPr>
          <w:tab/>
        </w:r>
        <w:r w:rsidR="00256D05">
          <w:rPr>
            <w:noProof/>
            <w:webHidden/>
          </w:rPr>
          <w:fldChar w:fldCharType="begin"/>
        </w:r>
        <w:r w:rsidR="00256D05">
          <w:rPr>
            <w:noProof/>
            <w:webHidden/>
          </w:rPr>
          <w:instrText xml:space="preserve"> PAGEREF _Toc8398923 \h </w:instrText>
        </w:r>
        <w:r w:rsidR="00256D05">
          <w:rPr>
            <w:noProof/>
            <w:webHidden/>
          </w:rPr>
        </w:r>
        <w:r w:rsidR="00256D05">
          <w:rPr>
            <w:noProof/>
            <w:webHidden/>
          </w:rPr>
          <w:fldChar w:fldCharType="separate"/>
        </w:r>
        <w:r w:rsidR="0002049A">
          <w:rPr>
            <w:noProof/>
            <w:webHidden/>
          </w:rPr>
          <w:t>27</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24" w:history="1">
        <w:r w:rsidR="00256D05" w:rsidRPr="0078348D">
          <w:rPr>
            <w:rStyle w:val="Hyperlink"/>
            <w:noProof/>
          </w:rPr>
          <w:t>Table 6: Objective 6 priorities for action</w:t>
        </w:r>
        <w:r w:rsidR="00256D05">
          <w:rPr>
            <w:noProof/>
            <w:webHidden/>
          </w:rPr>
          <w:tab/>
        </w:r>
        <w:r w:rsidR="00256D05">
          <w:rPr>
            <w:noProof/>
            <w:webHidden/>
          </w:rPr>
          <w:fldChar w:fldCharType="begin"/>
        </w:r>
        <w:r w:rsidR="00256D05">
          <w:rPr>
            <w:noProof/>
            <w:webHidden/>
          </w:rPr>
          <w:instrText xml:space="preserve"> PAGEREF _Toc8398924 \h </w:instrText>
        </w:r>
        <w:r w:rsidR="00256D05">
          <w:rPr>
            <w:noProof/>
            <w:webHidden/>
          </w:rPr>
        </w:r>
        <w:r w:rsidR="00256D05">
          <w:rPr>
            <w:noProof/>
            <w:webHidden/>
          </w:rPr>
          <w:fldChar w:fldCharType="separate"/>
        </w:r>
        <w:r w:rsidR="0002049A">
          <w:rPr>
            <w:noProof/>
            <w:webHidden/>
          </w:rPr>
          <w:t>28</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25" w:history="1">
        <w:r w:rsidR="00256D05" w:rsidRPr="0078348D">
          <w:rPr>
            <w:rStyle w:val="Hyperlink"/>
            <w:noProof/>
          </w:rPr>
          <w:t>Table 7: Objective 7 priorities for action</w:t>
        </w:r>
        <w:r w:rsidR="00256D05">
          <w:rPr>
            <w:noProof/>
            <w:webHidden/>
          </w:rPr>
          <w:tab/>
        </w:r>
        <w:r w:rsidR="00256D05">
          <w:rPr>
            <w:noProof/>
            <w:webHidden/>
          </w:rPr>
          <w:fldChar w:fldCharType="begin"/>
        </w:r>
        <w:r w:rsidR="00256D05">
          <w:rPr>
            <w:noProof/>
            <w:webHidden/>
          </w:rPr>
          <w:instrText xml:space="preserve"> PAGEREF _Toc8398925 \h </w:instrText>
        </w:r>
        <w:r w:rsidR="00256D05">
          <w:rPr>
            <w:noProof/>
            <w:webHidden/>
          </w:rPr>
        </w:r>
        <w:r w:rsidR="00256D05">
          <w:rPr>
            <w:noProof/>
            <w:webHidden/>
          </w:rPr>
          <w:fldChar w:fldCharType="separate"/>
        </w:r>
        <w:r w:rsidR="0002049A">
          <w:rPr>
            <w:noProof/>
            <w:webHidden/>
          </w:rPr>
          <w:t>30</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26" w:history="1">
        <w:r w:rsidR="00256D05" w:rsidRPr="0078348D">
          <w:rPr>
            <w:rStyle w:val="Hyperlink"/>
            <w:noProof/>
          </w:rPr>
          <w:t>Table 8: Objective 8 priorities for action</w:t>
        </w:r>
        <w:r w:rsidR="00256D05">
          <w:rPr>
            <w:noProof/>
            <w:webHidden/>
          </w:rPr>
          <w:tab/>
        </w:r>
        <w:r w:rsidR="00256D05">
          <w:rPr>
            <w:noProof/>
            <w:webHidden/>
          </w:rPr>
          <w:fldChar w:fldCharType="begin"/>
        </w:r>
        <w:r w:rsidR="00256D05">
          <w:rPr>
            <w:noProof/>
            <w:webHidden/>
          </w:rPr>
          <w:instrText xml:space="preserve"> PAGEREF _Toc8398926 \h </w:instrText>
        </w:r>
        <w:r w:rsidR="00256D05">
          <w:rPr>
            <w:noProof/>
            <w:webHidden/>
          </w:rPr>
        </w:r>
        <w:r w:rsidR="00256D05">
          <w:rPr>
            <w:noProof/>
            <w:webHidden/>
          </w:rPr>
          <w:fldChar w:fldCharType="separate"/>
        </w:r>
        <w:r w:rsidR="0002049A">
          <w:rPr>
            <w:noProof/>
            <w:webHidden/>
          </w:rPr>
          <w:t>31</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27" w:history="1">
        <w:r w:rsidR="00256D05" w:rsidRPr="0078348D">
          <w:rPr>
            <w:rStyle w:val="Hyperlink"/>
            <w:noProof/>
          </w:rPr>
          <w:t>Table 9: Objective 9 priorities for action</w:t>
        </w:r>
        <w:r w:rsidR="00256D05">
          <w:rPr>
            <w:noProof/>
            <w:webHidden/>
          </w:rPr>
          <w:tab/>
        </w:r>
        <w:r w:rsidR="00256D05">
          <w:rPr>
            <w:noProof/>
            <w:webHidden/>
          </w:rPr>
          <w:fldChar w:fldCharType="begin"/>
        </w:r>
        <w:r w:rsidR="00256D05">
          <w:rPr>
            <w:noProof/>
            <w:webHidden/>
          </w:rPr>
          <w:instrText xml:space="preserve"> PAGEREF _Toc8398927 \h </w:instrText>
        </w:r>
        <w:r w:rsidR="00256D05">
          <w:rPr>
            <w:noProof/>
            <w:webHidden/>
          </w:rPr>
        </w:r>
        <w:r w:rsidR="00256D05">
          <w:rPr>
            <w:noProof/>
            <w:webHidden/>
          </w:rPr>
          <w:fldChar w:fldCharType="separate"/>
        </w:r>
        <w:r w:rsidR="0002049A">
          <w:rPr>
            <w:noProof/>
            <w:webHidden/>
          </w:rPr>
          <w:t>33</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28" w:history="1">
        <w:r w:rsidR="00256D05" w:rsidRPr="0078348D">
          <w:rPr>
            <w:rStyle w:val="Hyperlink"/>
            <w:noProof/>
          </w:rPr>
          <w:t>Table 10: Objective 10 priorities for action</w:t>
        </w:r>
        <w:r w:rsidR="00256D05">
          <w:rPr>
            <w:noProof/>
            <w:webHidden/>
          </w:rPr>
          <w:tab/>
        </w:r>
        <w:r w:rsidR="00256D05">
          <w:rPr>
            <w:noProof/>
            <w:webHidden/>
          </w:rPr>
          <w:fldChar w:fldCharType="begin"/>
        </w:r>
        <w:r w:rsidR="00256D05">
          <w:rPr>
            <w:noProof/>
            <w:webHidden/>
          </w:rPr>
          <w:instrText xml:space="preserve"> PAGEREF _Toc8398928 \h </w:instrText>
        </w:r>
        <w:r w:rsidR="00256D05">
          <w:rPr>
            <w:noProof/>
            <w:webHidden/>
          </w:rPr>
        </w:r>
        <w:r w:rsidR="00256D05">
          <w:rPr>
            <w:noProof/>
            <w:webHidden/>
          </w:rPr>
          <w:fldChar w:fldCharType="separate"/>
        </w:r>
        <w:r w:rsidR="0002049A">
          <w:rPr>
            <w:noProof/>
            <w:webHidden/>
          </w:rPr>
          <w:t>34</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29" w:history="1">
        <w:r w:rsidR="00256D05" w:rsidRPr="0078348D">
          <w:rPr>
            <w:rStyle w:val="Hyperlink"/>
            <w:noProof/>
          </w:rPr>
          <w:t>Table 11: Objective 11 priorities for action</w:t>
        </w:r>
        <w:r w:rsidR="00256D05">
          <w:rPr>
            <w:noProof/>
            <w:webHidden/>
          </w:rPr>
          <w:tab/>
        </w:r>
        <w:r w:rsidR="00256D05">
          <w:rPr>
            <w:noProof/>
            <w:webHidden/>
          </w:rPr>
          <w:fldChar w:fldCharType="begin"/>
        </w:r>
        <w:r w:rsidR="00256D05">
          <w:rPr>
            <w:noProof/>
            <w:webHidden/>
          </w:rPr>
          <w:instrText xml:space="preserve"> PAGEREF _Toc8398929 \h </w:instrText>
        </w:r>
        <w:r w:rsidR="00256D05">
          <w:rPr>
            <w:noProof/>
            <w:webHidden/>
          </w:rPr>
        </w:r>
        <w:r w:rsidR="00256D05">
          <w:rPr>
            <w:noProof/>
            <w:webHidden/>
          </w:rPr>
          <w:fldChar w:fldCharType="separate"/>
        </w:r>
        <w:r w:rsidR="0002049A">
          <w:rPr>
            <w:noProof/>
            <w:webHidden/>
          </w:rPr>
          <w:t>35</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30" w:history="1">
        <w:r w:rsidR="00256D05" w:rsidRPr="0078348D">
          <w:rPr>
            <w:rStyle w:val="Hyperlink"/>
            <w:noProof/>
          </w:rPr>
          <w:t>Table 12: Aligning the strategy with He Korowai Oranga</w:t>
        </w:r>
        <w:r w:rsidR="00256D05">
          <w:rPr>
            <w:noProof/>
            <w:webHidden/>
          </w:rPr>
          <w:tab/>
        </w:r>
        <w:r w:rsidR="00256D05">
          <w:rPr>
            <w:noProof/>
            <w:webHidden/>
          </w:rPr>
          <w:fldChar w:fldCharType="begin"/>
        </w:r>
        <w:r w:rsidR="00256D05">
          <w:rPr>
            <w:noProof/>
            <w:webHidden/>
          </w:rPr>
          <w:instrText xml:space="preserve"> PAGEREF _Toc8398930 \h </w:instrText>
        </w:r>
        <w:r w:rsidR="00256D05">
          <w:rPr>
            <w:noProof/>
            <w:webHidden/>
          </w:rPr>
        </w:r>
        <w:r w:rsidR="00256D05">
          <w:rPr>
            <w:noProof/>
            <w:webHidden/>
          </w:rPr>
          <w:fldChar w:fldCharType="separate"/>
        </w:r>
        <w:r w:rsidR="0002049A">
          <w:rPr>
            <w:noProof/>
            <w:webHidden/>
          </w:rPr>
          <w:t>38</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31" w:history="1">
        <w:r w:rsidR="00256D05" w:rsidRPr="0078348D">
          <w:rPr>
            <w:rStyle w:val="Hyperlink"/>
            <w:noProof/>
          </w:rPr>
          <w:t>Table 13: Aligning the strategy with ‘Ala Mo’ui</w:t>
        </w:r>
        <w:r w:rsidR="00256D05">
          <w:rPr>
            <w:noProof/>
            <w:webHidden/>
          </w:rPr>
          <w:tab/>
        </w:r>
        <w:r w:rsidR="00256D05">
          <w:rPr>
            <w:noProof/>
            <w:webHidden/>
          </w:rPr>
          <w:fldChar w:fldCharType="begin"/>
        </w:r>
        <w:r w:rsidR="00256D05">
          <w:rPr>
            <w:noProof/>
            <w:webHidden/>
          </w:rPr>
          <w:instrText xml:space="preserve"> PAGEREF _Toc8398931 \h </w:instrText>
        </w:r>
        <w:r w:rsidR="00256D05">
          <w:rPr>
            <w:noProof/>
            <w:webHidden/>
          </w:rPr>
        </w:r>
        <w:r w:rsidR="00256D05">
          <w:rPr>
            <w:noProof/>
            <w:webHidden/>
          </w:rPr>
          <w:fldChar w:fldCharType="separate"/>
        </w:r>
        <w:r w:rsidR="0002049A">
          <w:rPr>
            <w:noProof/>
            <w:webHidden/>
          </w:rPr>
          <w:t>42</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32" w:history="1">
        <w:r w:rsidR="00256D05" w:rsidRPr="0078348D">
          <w:rPr>
            <w:rStyle w:val="Hyperlink"/>
            <w:noProof/>
          </w:rPr>
          <w:t>Table 14: Composition of people seeking treatment for gambling-related harm, 2016/17–2017/18</w:t>
        </w:r>
        <w:r w:rsidR="00256D05">
          <w:rPr>
            <w:noProof/>
            <w:webHidden/>
          </w:rPr>
          <w:tab/>
        </w:r>
        <w:r w:rsidR="00256D05">
          <w:rPr>
            <w:noProof/>
            <w:webHidden/>
          </w:rPr>
          <w:fldChar w:fldCharType="begin"/>
        </w:r>
        <w:r w:rsidR="00256D05">
          <w:rPr>
            <w:noProof/>
            <w:webHidden/>
          </w:rPr>
          <w:instrText xml:space="preserve"> PAGEREF _Toc8398932 \h </w:instrText>
        </w:r>
        <w:r w:rsidR="00256D05">
          <w:rPr>
            <w:noProof/>
            <w:webHidden/>
          </w:rPr>
        </w:r>
        <w:r w:rsidR="00256D05">
          <w:rPr>
            <w:noProof/>
            <w:webHidden/>
          </w:rPr>
          <w:fldChar w:fldCharType="separate"/>
        </w:r>
        <w:r w:rsidR="0002049A">
          <w:rPr>
            <w:noProof/>
            <w:webHidden/>
          </w:rPr>
          <w:t>46</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33" w:history="1">
        <w:r w:rsidR="00256D05" w:rsidRPr="0078348D">
          <w:rPr>
            <w:rStyle w:val="Hyperlink"/>
            <w:noProof/>
          </w:rPr>
          <w:t>Table 15: Budget to prevent and minimise gambling harm (GST exclusive), 2019/20–2021/22</w:t>
        </w:r>
        <w:r w:rsidR="00256D05">
          <w:rPr>
            <w:noProof/>
            <w:webHidden/>
          </w:rPr>
          <w:tab/>
        </w:r>
        <w:r w:rsidR="00256D05">
          <w:rPr>
            <w:noProof/>
            <w:webHidden/>
          </w:rPr>
          <w:fldChar w:fldCharType="begin"/>
        </w:r>
        <w:r w:rsidR="00256D05">
          <w:rPr>
            <w:noProof/>
            <w:webHidden/>
          </w:rPr>
          <w:instrText xml:space="preserve"> PAGEREF _Toc8398933 \h </w:instrText>
        </w:r>
        <w:r w:rsidR="00256D05">
          <w:rPr>
            <w:noProof/>
            <w:webHidden/>
          </w:rPr>
        </w:r>
        <w:r w:rsidR="00256D05">
          <w:rPr>
            <w:noProof/>
            <w:webHidden/>
          </w:rPr>
          <w:fldChar w:fldCharType="separate"/>
        </w:r>
        <w:r w:rsidR="0002049A">
          <w:rPr>
            <w:noProof/>
            <w:webHidden/>
          </w:rPr>
          <w:t>53</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34" w:history="1">
        <w:r w:rsidR="00256D05" w:rsidRPr="0078348D">
          <w:rPr>
            <w:rStyle w:val="Hyperlink"/>
            <w:noProof/>
          </w:rPr>
          <w:t>Table 16: Public health budget (GST exclusive), by service area, 2019/20–2021/22</w:t>
        </w:r>
        <w:r w:rsidR="00256D05">
          <w:rPr>
            <w:noProof/>
            <w:webHidden/>
          </w:rPr>
          <w:tab/>
        </w:r>
        <w:r w:rsidR="00256D05">
          <w:rPr>
            <w:noProof/>
            <w:webHidden/>
          </w:rPr>
          <w:fldChar w:fldCharType="begin"/>
        </w:r>
        <w:r w:rsidR="00256D05">
          <w:rPr>
            <w:noProof/>
            <w:webHidden/>
          </w:rPr>
          <w:instrText xml:space="preserve"> PAGEREF _Toc8398934 \h </w:instrText>
        </w:r>
        <w:r w:rsidR="00256D05">
          <w:rPr>
            <w:noProof/>
            <w:webHidden/>
          </w:rPr>
        </w:r>
        <w:r w:rsidR="00256D05">
          <w:rPr>
            <w:noProof/>
            <w:webHidden/>
          </w:rPr>
          <w:fldChar w:fldCharType="separate"/>
        </w:r>
        <w:r w:rsidR="0002049A">
          <w:rPr>
            <w:noProof/>
            <w:webHidden/>
          </w:rPr>
          <w:t>54</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35" w:history="1">
        <w:r w:rsidR="00256D05" w:rsidRPr="0078348D">
          <w:rPr>
            <w:rStyle w:val="Hyperlink"/>
            <w:noProof/>
          </w:rPr>
          <w:t>Table 17: Intervention services budget (GST exclusive), by service area, 2019/20–2021/22</w:t>
        </w:r>
        <w:r w:rsidR="00256D05">
          <w:rPr>
            <w:noProof/>
            <w:webHidden/>
          </w:rPr>
          <w:tab/>
        </w:r>
        <w:r w:rsidR="00256D05">
          <w:rPr>
            <w:noProof/>
            <w:webHidden/>
          </w:rPr>
          <w:fldChar w:fldCharType="begin"/>
        </w:r>
        <w:r w:rsidR="00256D05">
          <w:rPr>
            <w:noProof/>
            <w:webHidden/>
          </w:rPr>
          <w:instrText xml:space="preserve"> PAGEREF _Toc8398935 \h </w:instrText>
        </w:r>
        <w:r w:rsidR="00256D05">
          <w:rPr>
            <w:noProof/>
            <w:webHidden/>
          </w:rPr>
        </w:r>
        <w:r w:rsidR="00256D05">
          <w:rPr>
            <w:noProof/>
            <w:webHidden/>
          </w:rPr>
          <w:fldChar w:fldCharType="separate"/>
        </w:r>
        <w:r w:rsidR="0002049A">
          <w:rPr>
            <w:noProof/>
            <w:webHidden/>
          </w:rPr>
          <w:t>58</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36" w:history="1">
        <w:r w:rsidR="00256D05" w:rsidRPr="0078348D">
          <w:rPr>
            <w:rStyle w:val="Hyperlink"/>
            <w:noProof/>
          </w:rPr>
          <w:t>Table 18: Research and evaluation budget (GST exclusive), 2019/20–2021/22</w:t>
        </w:r>
        <w:r w:rsidR="00256D05">
          <w:rPr>
            <w:noProof/>
            <w:webHidden/>
          </w:rPr>
          <w:tab/>
        </w:r>
        <w:r w:rsidR="00256D05">
          <w:rPr>
            <w:noProof/>
            <w:webHidden/>
          </w:rPr>
          <w:fldChar w:fldCharType="begin"/>
        </w:r>
        <w:r w:rsidR="00256D05">
          <w:rPr>
            <w:noProof/>
            <w:webHidden/>
          </w:rPr>
          <w:instrText xml:space="preserve"> PAGEREF _Toc8398936 \h </w:instrText>
        </w:r>
        <w:r w:rsidR="00256D05">
          <w:rPr>
            <w:noProof/>
            <w:webHidden/>
          </w:rPr>
        </w:r>
        <w:r w:rsidR="00256D05">
          <w:rPr>
            <w:noProof/>
            <w:webHidden/>
          </w:rPr>
          <w:fldChar w:fldCharType="separate"/>
        </w:r>
        <w:r w:rsidR="0002049A">
          <w:rPr>
            <w:noProof/>
            <w:webHidden/>
          </w:rPr>
          <w:t>61</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37" w:history="1">
        <w:r w:rsidR="00256D05" w:rsidRPr="0078348D">
          <w:rPr>
            <w:rStyle w:val="Hyperlink"/>
            <w:noProof/>
          </w:rPr>
          <w:t>Table 19: Budget for new service and innovation pilots (GST exclusive), 2019/20–2021/22</w:t>
        </w:r>
        <w:r w:rsidR="00256D05">
          <w:rPr>
            <w:noProof/>
            <w:webHidden/>
          </w:rPr>
          <w:tab/>
        </w:r>
        <w:r w:rsidR="00256D05">
          <w:rPr>
            <w:noProof/>
            <w:webHidden/>
          </w:rPr>
          <w:fldChar w:fldCharType="begin"/>
        </w:r>
        <w:r w:rsidR="00256D05">
          <w:rPr>
            <w:noProof/>
            <w:webHidden/>
          </w:rPr>
          <w:instrText xml:space="preserve"> PAGEREF _Toc8398937 \h </w:instrText>
        </w:r>
        <w:r w:rsidR="00256D05">
          <w:rPr>
            <w:noProof/>
            <w:webHidden/>
          </w:rPr>
        </w:r>
        <w:r w:rsidR="00256D05">
          <w:rPr>
            <w:noProof/>
            <w:webHidden/>
          </w:rPr>
          <w:fldChar w:fldCharType="separate"/>
        </w:r>
        <w:r w:rsidR="0002049A">
          <w:rPr>
            <w:noProof/>
            <w:webHidden/>
          </w:rPr>
          <w:t>62</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38" w:history="1">
        <w:r w:rsidR="00256D05" w:rsidRPr="0078348D">
          <w:rPr>
            <w:rStyle w:val="Hyperlink"/>
            <w:noProof/>
          </w:rPr>
          <w:t>Table 20: Budget for Ministry operating costs (GST exclusive), 2019/20–2021/22</w:t>
        </w:r>
        <w:r w:rsidR="00256D05">
          <w:rPr>
            <w:noProof/>
            <w:webHidden/>
          </w:rPr>
          <w:tab/>
        </w:r>
        <w:r w:rsidR="00256D05">
          <w:rPr>
            <w:noProof/>
            <w:webHidden/>
          </w:rPr>
          <w:fldChar w:fldCharType="begin"/>
        </w:r>
        <w:r w:rsidR="00256D05">
          <w:rPr>
            <w:noProof/>
            <w:webHidden/>
          </w:rPr>
          <w:instrText xml:space="preserve"> PAGEREF _Toc8398938 \h </w:instrText>
        </w:r>
        <w:r w:rsidR="00256D05">
          <w:rPr>
            <w:noProof/>
            <w:webHidden/>
          </w:rPr>
        </w:r>
        <w:r w:rsidR="00256D05">
          <w:rPr>
            <w:noProof/>
            <w:webHidden/>
          </w:rPr>
          <w:fldChar w:fldCharType="separate"/>
        </w:r>
        <w:r w:rsidR="0002049A">
          <w:rPr>
            <w:noProof/>
            <w:webHidden/>
          </w:rPr>
          <w:t>64</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39" w:history="1">
        <w:r w:rsidR="00256D05" w:rsidRPr="0078348D">
          <w:rPr>
            <w:rStyle w:val="Hyperlink"/>
            <w:noProof/>
          </w:rPr>
          <w:t>Table 21: Forecast expenditure by sector (GST-inclusive), 2019/20–2021/22</w:t>
        </w:r>
        <w:r w:rsidR="00256D05">
          <w:rPr>
            <w:noProof/>
            <w:webHidden/>
          </w:rPr>
          <w:tab/>
        </w:r>
        <w:r w:rsidR="00256D05">
          <w:rPr>
            <w:noProof/>
            <w:webHidden/>
          </w:rPr>
          <w:fldChar w:fldCharType="begin"/>
        </w:r>
        <w:r w:rsidR="00256D05">
          <w:rPr>
            <w:noProof/>
            <w:webHidden/>
          </w:rPr>
          <w:instrText xml:space="preserve"> PAGEREF _Toc8398939 \h </w:instrText>
        </w:r>
        <w:r w:rsidR="00256D05">
          <w:rPr>
            <w:noProof/>
            <w:webHidden/>
          </w:rPr>
        </w:r>
        <w:r w:rsidR="00256D05">
          <w:rPr>
            <w:noProof/>
            <w:webHidden/>
          </w:rPr>
          <w:fldChar w:fldCharType="separate"/>
        </w:r>
        <w:r w:rsidR="0002049A">
          <w:rPr>
            <w:noProof/>
            <w:webHidden/>
          </w:rPr>
          <w:t>70</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40" w:history="1">
        <w:r w:rsidR="00256D05" w:rsidRPr="0078348D">
          <w:rPr>
            <w:rStyle w:val="Hyperlink"/>
            <w:noProof/>
          </w:rPr>
          <w:t>Table 22: Estimated underpayment or overpayment of problem gambling levy, 2004/05–2018/19, by sector</w:t>
        </w:r>
        <w:r w:rsidR="00256D05">
          <w:rPr>
            <w:noProof/>
            <w:webHidden/>
          </w:rPr>
          <w:tab/>
        </w:r>
        <w:r w:rsidR="00256D05">
          <w:rPr>
            <w:noProof/>
            <w:webHidden/>
          </w:rPr>
          <w:fldChar w:fldCharType="begin"/>
        </w:r>
        <w:r w:rsidR="00256D05">
          <w:rPr>
            <w:noProof/>
            <w:webHidden/>
          </w:rPr>
          <w:instrText xml:space="preserve"> PAGEREF _Toc8398940 \h </w:instrText>
        </w:r>
        <w:r w:rsidR="00256D05">
          <w:rPr>
            <w:noProof/>
            <w:webHidden/>
          </w:rPr>
        </w:r>
        <w:r w:rsidR="00256D05">
          <w:rPr>
            <w:noProof/>
            <w:webHidden/>
          </w:rPr>
          <w:fldChar w:fldCharType="separate"/>
        </w:r>
        <w:r w:rsidR="0002049A">
          <w:rPr>
            <w:noProof/>
            <w:webHidden/>
          </w:rPr>
          <w:t>71</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41" w:history="1">
        <w:r w:rsidR="00256D05" w:rsidRPr="0078348D">
          <w:rPr>
            <w:rStyle w:val="Hyperlink"/>
            <w:noProof/>
          </w:rPr>
          <w:t>Table 23: Share of presentations and expenditure by sector, 2017/18</w:t>
        </w:r>
        <w:r w:rsidR="00256D05">
          <w:rPr>
            <w:noProof/>
            <w:webHidden/>
          </w:rPr>
          <w:tab/>
        </w:r>
        <w:r w:rsidR="00256D05">
          <w:rPr>
            <w:noProof/>
            <w:webHidden/>
          </w:rPr>
          <w:fldChar w:fldCharType="begin"/>
        </w:r>
        <w:r w:rsidR="00256D05">
          <w:rPr>
            <w:noProof/>
            <w:webHidden/>
          </w:rPr>
          <w:instrText xml:space="preserve"> PAGEREF _Toc8398941 \h </w:instrText>
        </w:r>
        <w:r w:rsidR="00256D05">
          <w:rPr>
            <w:noProof/>
            <w:webHidden/>
          </w:rPr>
        </w:r>
        <w:r w:rsidR="00256D05">
          <w:rPr>
            <w:noProof/>
            <w:webHidden/>
          </w:rPr>
          <w:fldChar w:fldCharType="separate"/>
        </w:r>
        <w:r w:rsidR="0002049A">
          <w:rPr>
            <w:noProof/>
            <w:webHidden/>
          </w:rPr>
          <w:t>72</w:t>
        </w:r>
        <w:r w:rsidR="00256D05">
          <w:rPr>
            <w:noProof/>
            <w:webHidden/>
          </w:rPr>
          <w:fldChar w:fldCharType="end"/>
        </w:r>
      </w:hyperlink>
    </w:p>
    <w:p w:rsidR="00256D05"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8398942" w:history="1">
        <w:r w:rsidR="00256D05" w:rsidRPr="0078348D">
          <w:rPr>
            <w:rStyle w:val="Hyperlink"/>
            <w:noProof/>
          </w:rPr>
          <w:t>Table 24: Levy rates per sector: 30/70 weighting (</w:t>
        </w:r>
        <w:r w:rsidR="00256D05" w:rsidRPr="0078348D">
          <w:rPr>
            <w:rStyle w:val="Hyperlink"/>
            <w:rFonts w:eastAsia="Arial Unicode MS"/>
            <w:noProof/>
          </w:rPr>
          <w:t>all figures GST exclusive)</w:t>
        </w:r>
        <w:r w:rsidR="00256D05">
          <w:rPr>
            <w:noProof/>
            <w:webHidden/>
          </w:rPr>
          <w:tab/>
        </w:r>
        <w:r w:rsidR="00256D05">
          <w:rPr>
            <w:noProof/>
            <w:webHidden/>
          </w:rPr>
          <w:fldChar w:fldCharType="begin"/>
        </w:r>
        <w:r w:rsidR="00256D05">
          <w:rPr>
            <w:noProof/>
            <w:webHidden/>
          </w:rPr>
          <w:instrText xml:space="preserve"> PAGEREF _Toc8398942 \h </w:instrText>
        </w:r>
        <w:r w:rsidR="00256D05">
          <w:rPr>
            <w:noProof/>
            <w:webHidden/>
          </w:rPr>
        </w:r>
        <w:r w:rsidR="00256D05">
          <w:rPr>
            <w:noProof/>
            <w:webHidden/>
          </w:rPr>
          <w:fldChar w:fldCharType="separate"/>
        </w:r>
        <w:r w:rsidR="0002049A">
          <w:rPr>
            <w:noProof/>
            <w:webHidden/>
          </w:rPr>
          <w:t>73</w:t>
        </w:r>
        <w:r w:rsidR="00256D05">
          <w:rPr>
            <w:noProof/>
            <w:webHidden/>
          </w:rPr>
          <w:fldChar w:fldCharType="end"/>
        </w:r>
      </w:hyperlink>
    </w:p>
    <w:p w:rsidR="00F603BE" w:rsidRDefault="00F603BE" w:rsidP="00F603BE">
      <w:pPr>
        <w:rPr>
          <w:b/>
        </w:rPr>
      </w:pPr>
      <w:r>
        <w:rPr>
          <w:b/>
        </w:rPr>
        <w:fldChar w:fldCharType="end"/>
      </w:r>
    </w:p>
    <w:p w:rsidR="00F603BE" w:rsidRDefault="00F603BE" w:rsidP="00F1577A">
      <w:pPr>
        <w:rPr>
          <w:b/>
        </w:rPr>
      </w:pPr>
      <w:r>
        <w:rPr>
          <w:b/>
        </w:rPr>
        <w:t>List of figures</w:t>
      </w:r>
    </w:p>
    <w:p w:rsidR="00955AE8" w:rsidRDefault="005A26D2">
      <w:pPr>
        <w:pStyle w:val="TableofFigures"/>
        <w:tabs>
          <w:tab w:val="right" w:leader="dot" w:pos="7928"/>
        </w:tabs>
        <w:rPr>
          <w:rFonts w:asciiTheme="minorHAnsi" w:eastAsiaTheme="minorEastAsia" w:hAnsiTheme="minorHAnsi" w:cstheme="minorBidi"/>
          <w:noProof/>
          <w:sz w:val="22"/>
          <w:szCs w:val="22"/>
          <w:lang w:eastAsia="en-NZ"/>
        </w:rPr>
      </w:pPr>
      <w:r>
        <w:rPr>
          <w:b/>
        </w:rPr>
        <w:fldChar w:fldCharType="begin"/>
      </w:r>
      <w:r>
        <w:rPr>
          <w:b/>
        </w:rPr>
        <w:instrText xml:space="preserve"> TOC \h \z \c "Figure" </w:instrText>
      </w:r>
      <w:r>
        <w:rPr>
          <w:b/>
        </w:rPr>
        <w:fldChar w:fldCharType="separate"/>
      </w:r>
      <w:hyperlink w:anchor="_Toc7680397" w:history="1">
        <w:r w:rsidR="00955AE8" w:rsidRPr="00CA262C">
          <w:rPr>
            <w:rStyle w:val="Hyperlink"/>
            <w:noProof/>
          </w:rPr>
          <w:t>Figure 1: Inflation (2017)-adjusted expenditure per capita (adults aged over 18 years), by type of gambling, 2009/10–2016/17</w:t>
        </w:r>
        <w:r w:rsidR="00955AE8">
          <w:rPr>
            <w:noProof/>
            <w:webHidden/>
          </w:rPr>
          <w:tab/>
        </w:r>
        <w:r w:rsidR="00955AE8">
          <w:rPr>
            <w:noProof/>
            <w:webHidden/>
          </w:rPr>
          <w:fldChar w:fldCharType="begin"/>
        </w:r>
        <w:r w:rsidR="00955AE8">
          <w:rPr>
            <w:noProof/>
            <w:webHidden/>
          </w:rPr>
          <w:instrText xml:space="preserve"> PAGEREF _Toc7680397 \h </w:instrText>
        </w:r>
        <w:r w:rsidR="00955AE8">
          <w:rPr>
            <w:noProof/>
            <w:webHidden/>
          </w:rPr>
        </w:r>
        <w:r w:rsidR="00955AE8">
          <w:rPr>
            <w:noProof/>
            <w:webHidden/>
          </w:rPr>
          <w:fldChar w:fldCharType="separate"/>
        </w:r>
        <w:r w:rsidR="0002049A">
          <w:rPr>
            <w:noProof/>
            <w:webHidden/>
          </w:rPr>
          <w:t>6</w:t>
        </w:r>
        <w:r w:rsidR="00955AE8">
          <w:rPr>
            <w:noProof/>
            <w:webHidden/>
          </w:rPr>
          <w:fldChar w:fldCharType="end"/>
        </w:r>
      </w:hyperlink>
    </w:p>
    <w:p w:rsidR="00955AE8"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7680398" w:history="1">
        <w:r w:rsidR="00955AE8" w:rsidRPr="00CA262C">
          <w:rPr>
            <w:rStyle w:val="Hyperlink"/>
            <w:noProof/>
          </w:rPr>
          <w:t>Figure 2: Gambling behaviour and harm: the continuum of prevention and harm reduction</w:t>
        </w:r>
        <w:r w:rsidR="00955AE8">
          <w:rPr>
            <w:noProof/>
            <w:webHidden/>
          </w:rPr>
          <w:tab/>
        </w:r>
        <w:r w:rsidR="00955AE8">
          <w:rPr>
            <w:noProof/>
            <w:webHidden/>
          </w:rPr>
          <w:fldChar w:fldCharType="begin"/>
        </w:r>
        <w:r w:rsidR="00955AE8">
          <w:rPr>
            <w:noProof/>
            <w:webHidden/>
          </w:rPr>
          <w:instrText xml:space="preserve"> PAGEREF _Toc7680398 \h </w:instrText>
        </w:r>
        <w:r w:rsidR="00955AE8">
          <w:rPr>
            <w:noProof/>
            <w:webHidden/>
          </w:rPr>
        </w:r>
        <w:r w:rsidR="00955AE8">
          <w:rPr>
            <w:noProof/>
            <w:webHidden/>
          </w:rPr>
          <w:fldChar w:fldCharType="separate"/>
        </w:r>
        <w:r w:rsidR="0002049A">
          <w:rPr>
            <w:noProof/>
            <w:webHidden/>
          </w:rPr>
          <w:t>16</w:t>
        </w:r>
        <w:r w:rsidR="00955AE8">
          <w:rPr>
            <w:noProof/>
            <w:webHidden/>
          </w:rPr>
          <w:fldChar w:fldCharType="end"/>
        </w:r>
      </w:hyperlink>
    </w:p>
    <w:p w:rsidR="00955AE8"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7680399" w:history="1">
        <w:r w:rsidR="00955AE8" w:rsidRPr="00CA262C">
          <w:rPr>
            <w:rStyle w:val="Hyperlink"/>
            <w:noProof/>
          </w:rPr>
          <w:t>Figure 3: Distribution of class 4 NCGMs by low-, mid- and high-deprivation census area units, 2012–2018</w:t>
        </w:r>
        <w:r w:rsidR="00955AE8">
          <w:rPr>
            <w:noProof/>
            <w:webHidden/>
          </w:rPr>
          <w:tab/>
        </w:r>
        <w:r w:rsidR="00955AE8">
          <w:rPr>
            <w:noProof/>
            <w:webHidden/>
          </w:rPr>
          <w:fldChar w:fldCharType="begin"/>
        </w:r>
        <w:r w:rsidR="00955AE8">
          <w:rPr>
            <w:noProof/>
            <w:webHidden/>
          </w:rPr>
          <w:instrText xml:space="preserve"> PAGEREF _Toc7680399 \h </w:instrText>
        </w:r>
        <w:r w:rsidR="00955AE8">
          <w:rPr>
            <w:noProof/>
            <w:webHidden/>
          </w:rPr>
        </w:r>
        <w:r w:rsidR="00955AE8">
          <w:rPr>
            <w:noProof/>
            <w:webHidden/>
          </w:rPr>
          <w:fldChar w:fldCharType="separate"/>
        </w:r>
        <w:r w:rsidR="0002049A">
          <w:rPr>
            <w:noProof/>
            <w:webHidden/>
          </w:rPr>
          <w:t>18</w:t>
        </w:r>
        <w:r w:rsidR="00955AE8">
          <w:rPr>
            <w:noProof/>
            <w:webHidden/>
          </w:rPr>
          <w:fldChar w:fldCharType="end"/>
        </w:r>
      </w:hyperlink>
    </w:p>
    <w:p w:rsidR="00955AE8"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7680400" w:history="1">
        <w:r w:rsidR="00955AE8" w:rsidRPr="00CA262C">
          <w:rPr>
            <w:rStyle w:val="Hyperlink"/>
            <w:noProof/>
          </w:rPr>
          <w:t>Figure 4: Framework for organising the strategic objectives</w:t>
        </w:r>
        <w:r w:rsidR="00955AE8">
          <w:rPr>
            <w:noProof/>
            <w:webHidden/>
          </w:rPr>
          <w:tab/>
        </w:r>
        <w:r w:rsidR="00955AE8">
          <w:rPr>
            <w:noProof/>
            <w:webHidden/>
          </w:rPr>
          <w:fldChar w:fldCharType="begin"/>
        </w:r>
        <w:r w:rsidR="00955AE8">
          <w:rPr>
            <w:noProof/>
            <w:webHidden/>
          </w:rPr>
          <w:instrText xml:space="preserve"> PAGEREF _Toc7680400 \h </w:instrText>
        </w:r>
        <w:r w:rsidR="00955AE8">
          <w:rPr>
            <w:noProof/>
            <w:webHidden/>
          </w:rPr>
        </w:r>
        <w:r w:rsidR="00955AE8">
          <w:rPr>
            <w:noProof/>
            <w:webHidden/>
          </w:rPr>
          <w:fldChar w:fldCharType="separate"/>
        </w:r>
        <w:r w:rsidR="0002049A">
          <w:rPr>
            <w:noProof/>
            <w:webHidden/>
          </w:rPr>
          <w:t>20</w:t>
        </w:r>
        <w:r w:rsidR="00955AE8">
          <w:rPr>
            <w:noProof/>
            <w:webHidden/>
          </w:rPr>
          <w:fldChar w:fldCharType="end"/>
        </w:r>
      </w:hyperlink>
    </w:p>
    <w:p w:rsidR="00955AE8"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7680401" w:history="1">
        <w:r w:rsidR="00955AE8" w:rsidRPr="00CA262C">
          <w:rPr>
            <w:rStyle w:val="Hyperlink"/>
            <w:noProof/>
          </w:rPr>
          <w:t>Figure 5: Summary of He Korowai Oranga</w:t>
        </w:r>
        <w:r w:rsidR="00955AE8">
          <w:rPr>
            <w:noProof/>
            <w:webHidden/>
          </w:rPr>
          <w:tab/>
        </w:r>
        <w:r w:rsidR="00955AE8">
          <w:rPr>
            <w:noProof/>
            <w:webHidden/>
          </w:rPr>
          <w:fldChar w:fldCharType="begin"/>
        </w:r>
        <w:r w:rsidR="00955AE8">
          <w:rPr>
            <w:noProof/>
            <w:webHidden/>
          </w:rPr>
          <w:instrText xml:space="preserve"> PAGEREF _Toc7680401 \h </w:instrText>
        </w:r>
        <w:r w:rsidR="00955AE8">
          <w:rPr>
            <w:noProof/>
            <w:webHidden/>
          </w:rPr>
        </w:r>
        <w:r w:rsidR="00955AE8">
          <w:rPr>
            <w:noProof/>
            <w:webHidden/>
          </w:rPr>
          <w:fldChar w:fldCharType="separate"/>
        </w:r>
        <w:r w:rsidR="0002049A">
          <w:rPr>
            <w:noProof/>
            <w:webHidden/>
          </w:rPr>
          <w:t>37</w:t>
        </w:r>
        <w:r w:rsidR="00955AE8">
          <w:rPr>
            <w:noProof/>
            <w:webHidden/>
          </w:rPr>
          <w:fldChar w:fldCharType="end"/>
        </w:r>
      </w:hyperlink>
    </w:p>
    <w:p w:rsidR="00955AE8" w:rsidRDefault="004354CD">
      <w:pPr>
        <w:pStyle w:val="TableofFigures"/>
        <w:tabs>
          <w:tab w:val="right" w:leader="dot" w:pos="7928"/>
        </w:tabs>
        <w:rPr>
          <w:rFonts w:asciiTheme="minorHAnsi" w:eastAsiaTheme="minorEastAsia" w:hAnsiTheme="minorHAnsi" w:cstheme="minorBidi"/>
          <w:noProof/>
          <w:sz w:val="22"/>
          <w:szCs w:val="22"/>
          <w:lang w:eastAsia="en-NZ"/>
        </w:rPr>
      </w:pPr>
      <w:hyperlink w:anchor="_Toc7680402" w:history="1">
        <w:r w:rsidR="00955AE8" w:rsidRPr="00CA262C">
          <w:rPr>
            <w:rStyle w:val="Hyperlink"/>
            <w:noProof/>
          </w:rPr>
          <w:t>Figure 6: Summary of ‘Ala Mo’ui</w:t>
        </w:r>
        <w:r w:rsidR="00955AE8">
          <w:rPr>
            <w:noProof/>
            <w:webHidden/>
          </w:rPr>
          <w:tab/>
        </w:r>
        <w:r w:rsidR="00955AE8">
          <w:rPr>
            <w:noProof/>
            <w:webHidden/>
          </w:rPr>
          <w:fldChar w:fldCharType="begin"/>
        </w:r>
        <w:r w:rsidR="00955AE8">
          <w:rPr>
            <w:noProof/>
            <w:webHidden/>
          </w:rPr>
          <w:instrText xml:space="preserve"> PAGEREF _Toc7680402 \h </w:instrText>
        </w:r>
        <w:r w:rsidR="00955AE8">
          <w:rPr>
            <w:noProof/>
            <w:webHidden/>
          </w:rPr>
        </w:r>
        <w:r w:rsidR="00955AE8">
          <w:rPr>
            <w:noProof/>
            <w:webHidden/>
          </w:rPr>
          <w:fldChar w:fldCharType="separate"/>
        </w:r>
        <w:r w:rsidR="0002049A">
          <w:rPr>
            <w:noProof/>
            <w:webHidden/>
          </w:rPr>
          <w:t>41</w:t>
        </w:r>
        <w:r w:rsidR="00955AE8">
          <w:rPr>
            <w:noProof/>
            <w:webHidden/>
          </w:rPr>
          <w:fldChar w:fldCharType="end"/>
        </w:r>
      </w:hyperlink>
    </w:p>
    <w:p w:rsidR="00F603BE" w:rsidRDefault="005A26D2" w:rsidP="00F1577A">
      <w:pPr>
        <w:rPr>
          <w:b/>
        </w:rPr>
      </w:pPr>
      <w:r>
        <w:rPr>
          <w:b/>
        </w:rPr>
        <w:fldChar w:fldCharType="end"/>
      </w:r>
    </w:p>
    <w:p w:rsidR="00C73ACA" w:rsidRDefault="00C73ACA" w:rsidP="003A5FEA">
      <w:r>
        <w:br w:type="page"/>
      </w:r>
    </w:p>
    <w:p w:rsidR="001D3E4E" w:rsidRDefault="001D3E4E" w:rsidP="003A5FEA">
      <w:pPr>
        <w:sectPr w:rsidR="001D3E4E" w:rsidSect="007A2C74">
          <w:headerReference w:type="even" r:id="rId17"/>
          <w:headerReference w:type="default" r:id="rId18"/>
          <w:footerReference w:type="even" r:id="rId19"/>
          <w:footerReference w:type="default" r:id="rId20"/>
          <w:headerReference w:type="first" r:id="rId21"/>
          <w:pgSz w:w="11907" w:h="16840" w:code="9"/>
          <w:pgMar w:top="1418" w:right="1842" w:bottom="1134" w:left="1843" w:header="284" w:footer="425" w:gutter="284"/>
          <w:pgNumType w:fmt="lowerRoman"/>
          <w:cols w:space="720"/>
        </w:sectPr>
      </w:pPr>
    </w:p>
    <w:p w:rsidR="008C2973" w:rsidRPr="00F776F5" w:rsidRDefault="0088150A" w:rsidP="003F217A">
      <w:pPr>
        <w:pStyle w:val="Heading1"/>
        <w:rPr>
          <w:rFonts w:ascii="Segoe UI" w:hAnsi="Segoe UI" w:cs="Segoe UI"/>
          <w:b/>
        </w:rPr>
      </w:pPr>
      <w:bookmarkStart w:id="3" w:name="_bookmark4"/>
      <w:bookmarkStart w:id="4" w:name="_Toc9239586"/>
      <w:bookmarkEnd w:id="3"/>
      <w:r w:rsidRPr="00F776F5">
        <w:rPr>
          <w:rFonts w:ascii="Segoe UI" w:hAnsi="Segoe UI" w:cs="Segoe UI"/>
          <w:b/>
        </w:rPr>
        <w:lastRenderedPageBreak/>
        <w:t>Introduction</w:t>
      </w:r>
      <w:bookmarkEnd w:id="4"/>
    </w:p>
    <w:p w:rsidR="00C73ACA" w:rsidRPr="00EB1F02" w:rsidRDefault="00582CC7" w:rsidP="00C73ACA">
      <w:pPr>
        <w:pStyle w:val="Heading3"/>
        <w:numPr>
          <w:ilvl w:val="0"/>
          <w:numId w:val="0"/>
        </w:numPr>
      </w:pPr>
      <w:r>
        <w:t>R</w:t>
      </w:r>
      <w:r w:rsidR="00C73ACA" w:rsidRPr="005F687D">
        <w:t>ole</w:t>
      </w:r>
      <w:r w:rsidR="00C73ACA" w:rsidRPr="00EB1F02">
        <w:t xml:space="preserve"> of the Ministry of Health</w:t>
      </w:r>
    </w:p>
    <w:p w:rsidR="0085615E" w:rsidRPr="00C10A99" w:rsidRDefault="0085615E" w:rsidP="0085615E">
      <w:r w:rsidRPr="00C10A99">
        <w:t xml:space="preserve">Since 1 July 2004, the Ministry has been responsible for developing and implementing the </w:t>
      </w:r>
      <w:r>
        <w:t>‘</w:t>
      </w:r>
      <w:r w:rsidRPr="00C10A99">
        <w:t>integrated problem gambling strategy focused on public health</w:t>
      </w:r>
      <w:r>
        <w:t>’</w:t>
      </w:r>
      <w:r w:rsidRPr="00C10A99">
        <w:t xml:space="preserve"> that is described in section 317 of </w:t>
      </w:r>
      <w:r>
        <w:t xml:space="preserve">the </w:t>
      </w:r>
      <w:r w:rsidR="00BC7407">
        <w:t xml:space="preserve">Gambling </w:t>
      </w:r>
      <w:r>
        <w:t>Act</w:t>
      </w:r>
      <w:r w:rsidR="00BC7407">
        <w:t xml:space="preserve"> 2003</w:t>
      </w:r>
      <w:r w:rsidRPr="00C10A99">
        <w:t>.</w:t>
      </w:r>
      <w:r w:rsidR="00BC7407">
        <w:t xml:space="preserve"> </w:t>
      </w:r>
      <w:r w:rsidRPr="00C10A99">
        <w:t xml:space="preserve">The Act </w:t>
      </w:r>
      <w:r w:rsidR="00D41925">
        <w:t>states</w:t>
      </w:r>
      <w:r w:rsidR="00D41925" w:rsidRPr="00C10A99">
        <w:t xml:space="preserve"> </w:t>
      </w:r>
      <w:r w:rsidRPr="00C10A99">
        <w:t>that the strategy must include:</w:t>
      </w:r>
    </w:p>
    <w:p w:rsidR="0085615E" w:rsidRPr="00EB1F02" w:rsidRDefault="0085615E" w:rsidP="00C73ACA">
      <w:pPr>
        <w:pStyle w:val="Bullet"/>
      </w:pPr>
      <w:r w:rsidRPr="00EB1F02">
        <w:t>measures to promote public health by preventing and minimising the harm from gambling</w:t>
      </w:r>
      <w:r w:rsidR="004854FA">
        <w:t xml:space="preserve"> (</w:t>
      </w:r>
      <w:r w:rsidR="007F1F7E">
        <w:t xml:space="preserve">see below for a definition of </w:t>
      </w:r>
      <w:r w:rsidR="004854FA">
        <w:t>harm)</w:t>
      </w:r>
    </w:p>
    <w:p w:rsidR="0085615E" w:rsidRPr="00EB1F02" w:rsidRDefault="0085615E" w:rsidP="00C73ACA">
      <w:pPr>
        <w:pStyle w:val="Bullet"/>
      </w:pPr>
      <w:r w:rsidRPr="00EB1F02">
        <w:t>services to treat and assist problem gamblers and their families</w:t>
      </w:r>
      <w:r w:rsidR="007F1F7E">
        <w:t xml:space="preserve"> and </w:t>
      </w:r>
      <w:r w:rsidRPr="00EB1F02">
        <w:t>whānau</w:t>
      </w:r>
    </w:p>
    <w:p w:rsidR="0085615E" w:rsidRPr="00EB1F02" w:rsidRDefault="0085615E" w:rsidP="00C73ACA">
      <w:pPr>
        <w:pStyle w:val="Bullet"/>
      </w:pPr>
      <w:r w:rsidRPr="00EB1F02">
        <w:t>independent scientific research associated with gambling, including (for example) longitudinal research on the social and economic impacts of gambling, particularly the impacts of gambling on different cultural groups</w:t>
      </w:r>
    </w:p>
    <w:p w:rsidR="0085615E" w:rsidRDefault="0085615E" w:rsidP="00C73ACA">
      <w:pPr>
        <w:pStyle w:val="Bullet"/>
      </w:pPr>
      <w:r w:rsidRPr="00EB1F02">
        <w:t>evaluation.</w:t>
      </w:r>
      <w:r w:rsidR="00F95E1C" w:rsidRPr="00F95E1C">
        <w:t xml:space="preserve"> </w:t>
      </w:r>
    </w:p>
    <w:p w:rsidR="0085615E" w:rsidRPr="00EB1F02" w:rsidRDefault="0085615E" w:rsidP="0085615E"/>
    <w:p w:rsidR="00BC7407" w:rsidRPr="000D164E" w:rsidRDefault="00BC7407" w:rsidP="00BC7407">
      <w:r w:rsidRPr="000D164E">
        <w:t xml:space="preserve">The Act defines a </w:t>
      </w:r>
      <w:r w:rsidR="00EF55BC">
        <w:t>‘</w:t>
      </w:r>
      <w:r w:rsidRPr="000D164E">
        <w:t>problem gambler</w:t>
      </w:r>
      <w:r w:rsidR="00EF55BC">
        <w:t>’</w:t>
      </w:r>
      <w:r w:rsidRPr="000D164E">
        <w:t xml:space="preserve"> as a person whose gambling causes harm or may cause harm</w:t>
      </w:r>
      <w:r w:rsidR="007F1F7E">
        <w:t xml:space="preserve">. Its </w:t>
      </w:r>
      <w:r w:rsidR="00EF55BC">
        <w:t>further states that</w:t>
      </w:r>
      <w:r w:rsidR="00582CC7">
        <w:t xml:space="preserve"> </w:t>
      </w:r>
      <w:r>
        <w:t>‘</w:t>
      </w:r>
      <w:r w:rsidRPr="000D164E">
        <w:t>harm</w:t>
      </w:r>
      <w:r>
        <w:t>’</w:t>
      </w:r>
      <w:r w:rsidRPr="000D164E">
        <w:t>:</w:t>
      </w:r>
    </w:p>
    <w:p w:rsidR="00BC7407" w:rsidRPr="000D164E" w:rsidRDefault="007F1F7E" w:rsidP="00BC7407">
      <w:pPr>
        <w:pStyle w:val="Letter"/>
      </w:pPr>
      <w:r>
        <w:t xml:space="preserve">means </w:t>
      </w:r>
      <w:r w:rsidR="00BC7407" w:rsidRPr="000D164E">
        <w:t>harm or distress of any kind arising from, or caused or exacerbated by, a person</w:t>
      </w:r>
      <w:r w:rsidR="00BC7407">
        <w:t>’</w:t>
      </w:r>
      <w:r w:rsidR="00BC7407" w:rsidRPr="000D164E">
        <w:t>s gambling; and</w:t>
      </w:r>
    </w:p>
    <w:p w:rsidR="00BC7407" w:rsidRPr="000D164E" w:rsidRDefault="00BC7407" w:rsidP="00BC7407">
      <w:pPr>
        <w:pStyle w:val="Letter"/>
      </w:pPr>
      <w:r w:rsidRPr="000D164E">
        <w:t>includ</w:t>
      </w:r>
      <w:r>
        <w:t>es</w:t>
      </w:r>
      <w:r w:rsidRPr="000D164E">
        <w:t xml:space="preserve"> personal, social, or economic harm suffered </w:t>
      </w:r>
      <w:r w:rsidR="007F1F7E">
        <w:t>–</w:t>
      </w:r>
    </w:p>
    <w:p w:rsidR="00BC7407" w:rsidRPr="000D164E" w:rsidRDefault="00BC7407" w:rsidP="00BC7407">
      <w:pPr>
        <w:pStyle w:val="Roman"/>
      </w:pPr>
      <w:r w:rsidRPr="000D164E">
        <w:t>by the person; or</w:t>
      </w:r>
    </w:p>
    <w:p w:rsidR="00BC7407" w:rsidRPr="000D164E" w:rsidRDefault="00BC7407" w:rsidP="00BC7407">
      <w:pPr>
        <w:pStyle w:val="Roman"/>
      </w:pPr>
      <w:r w:rsidRPr="000D164E">
        <w:t>by the person</w:t>
      </w:r>
      <w:r>
        <w:t>’</w:t>
      </w:r>
      <w:r w:rsidRPr="000D164E">
        <w:t>s spouse, civil union partner, de facto partner, family, whānau, or wider community; or</w:t>
      </w:r>
    </w:p>
    <w:p w:rsidR="00BC7407" w:rsidRPr="000D164E" w:rsidRDefault="00BC7407" w:rsidP="00BC7407">
      <w:pPr>
        <w:pStyle w:val="Roman"/>
      </w:pPr>
      <w:r w:rsidRPr="000D164E">
        <w:t>in the workplace; or</w:t>
      </w:r>
    </w:p>
    <w:p w:rsidR="00BC7407" w:rsidRPr="00C10A99" w:rsidRDefault="00BC7407" w:rsidP="00BC7407">
      <w:pPr>
        <w:pStyle w:val="Roman"/>
      </w:pPr>
      <w:r w:rsidRPr="000D164E">
        <w:t>by society at large.</w:t>
      </w:r>
    </w:p>
    <w:p w:rsidR="00BC7407" w:rsidRDefault="00BC7407" w:rsidP="0085615E"/>
    <w:p w:rsidR="0085615E" w:rsidRDefault="0085615E" w:rsidP="0085615E">
      <w:r w:rsidRPr="00E312E8">
        <w:t xml:space="preserve">The Ministry receives funding through Vote Health to develop and implement the strategy. The Crown then recovers the cost of this appropriation through a </w:t>
      </w:r>
      <w:r>
        <w:t>‘</w:t>
      </w:r>
      <w:r w:rsidRPr="00E312E8">
        <w:t>problem gambling levy</w:t>
      </w:r>
      <w:r>
        <w:t>’</w:t>
      </w:r>
      <w:r w:rsidRPr="00E312E8">
        <w:t xml:space="preserve"> paid by the main gambling operators.</w:t>
      </w:r>
    </w:p>
    <w:p w:rsidR="0085615E" w:rsidRPr="006E5968" w:rsidRDefault="0085615E" w:rsidP="0085615E">
      <w:pPr>
        <w:pStyle w:val="Heading3"/>
        <w:numPr>
          <w:ilvl w:val="0"/>
          <w:numId w:val="0"/>
        </w:numPr>
      </w:pPr>
      <w:r w:rsidRPr="006E5968">
        <w:t>Role of the Department of Internal Affairs</w:t>
      </w:r>
    </w:p>
    <w:p w:rsidR="0085615E" w:rsidRDefault="00C23195" w:rsidP="0085615E">
      <w:r>
        <w:t>The Department of Internal Affairs (</w:t>
      </w:r>
      <w:r w:rsidR="0085615E" w:rsidRPr="00C10A99">
        <w:t>DIA</w:t>
      </w:r>
      <w:r>
        <w:t>)</w:t>
      </w:r>
      <w:r w:rsidR="0085615E" w:rsidRPr="00C10A99">
        <w:t xml:space="preserve"> is the main gambling regulator and policy advisor to the Government on gambling regulatory issues. DIA administers the Act and its regulations, issues licences for gambling activities, ensures compliance with the legislation</w:t>
      </w:r>
      <w:r w:rsidR="0085615E">
        <w:t>, works with the gambling sector to encourage best practice</w:t>
      </w:r>
      <w:r w:rsidR="0085615E" w:rsidRPr="00C10A99">
        <w:t xml:space="preserve"> and publishes statistical and other information concerning gambling. </w:t>
      </w:r>
      <w:r w:rsidR="0085615E">
        <w:t>It is also responsible for limiting the opportunities for crime and dishonesty associated with gambling and ensuring gambling proceeds benefit the community.</w:t>
      </w:r>
    </w:p>
    <w:p w:rsidR="0085615E" w:rsidRDefault="0085615E" w:rsidP="0085615E"/>
    <w:p w:rsidR="0085615E" w:rsidRDefault="0085615E" w:rsidP="0085615E">
      <w:r w:rsidRPr="00C10A99">
        <w:t>DIA</w:t>
      </w:r>
      <w:r>
        <w:t>’</w:t>
      </w:r>
      <w:r w:rsidRPr="00C10A99">
        <w:t>s role includes key regulatory aspects of gambling</w:t>
      </w:r>
      <w:r>
        <w:t>-</w:t>
      </w:r>
      <w:r w:rsidRPr="00C10A99">
        <w:t>harm prevention and minimisation.</w:t>
      </w:r>
      <w:r>
        <w:t xml:space="preserve"> It</w:t>
      </w:r>
      <w:r w:rsidRPr="00D859D8">
        <w:t xml:space="preserve"> works with a range of stakeholders, including the gambling industry </w:t>
      </w:r>
      <w:r w:rsidRPr="00D859D8">
        <w:lastRenderedPageBreak/>
        <w:t>and gambling</w:t>
      </w:r>
      <w:r>
        <w:t>-</w:t>
      </w:r>
      <w:r w:rsidRPr="00D859D8">
        <w:t xml:space="preserve">harm service providers, to encourage and support venues to provide a </w:t>
      </w:r>
      <w:r>
        <w:t>‘</w:t>
      </w:r>
      <w:r w:rsidRPr="00D859D8">
        <w:t>culture of care</w:t>
      </w:r>
      <w:r>
        <w:t>’</w:t>
      </w:r>
      <w:r w:rsidRPr="00D859D8">
        <w:t xml:space="preserve"> towards gamblers.</w:t>
      </w:r>
    </w:p>
    <w:p w:rsidR="0085615E" w:rsidRPr="006E5968" w:rsidRDefault="0085615E" w:rsidP="0085615E">
      <w:pPr>
        <w:pStyle w:val="Heading3"/>
        <w:numPr>
          <w:ilvl w:val="0"/>
          <w:numId w:val="0"/>
        </w:numPr>
      </w:pPr>
      <w:r>
        <w:t xml:space="preserve">Structure of this document </w:t>
      </w:r>
    </w:p>
    <w:p w:rsidR="00A10EC0" w:rsidRDefault="0088150A" w:rsidP="00F674FF">
      <w:r w:rsidRPr="00A66E90">
        <w:t xml:space="preserve">This document is divided into </w:t>
      </w:r>
      <w:r>
        <w:t>sections</w:t>
      </w:r>
      <w:r w:rsidRPr="00A66E90">
        <w:t xml:space="preserve"> as follows.</w:t>
      </w:r>
    </w:p>
    <w:p w:rsidR="00107412" w:rsidRPr="00977918" w:rsidRDefault="00107412" w:rsidP="00CD14E4">
      <w:pPr>
        <w:pStyle w:val="Bullet"/>
        <w:numPr>
          <w:ilvl w:val="0"/>
          <w:numId w:val="0"/>
        </w:numPr>
      </w:pPr>
      <w:r>
        <w:t xml:space="preserve">Section 2 </w:t>
      </w:r>
      <w:r w:rsidR="00DA006E">
        <w:t xml:space="preserve">sets out the </w:t>
      </w:r>
      <w:r w:rsidR="0088150A">
        <w:t>three</w:t>
      </w:r>
      <w:r w:rsidR="0088150A" w:rsidRPr="00977918">
        <w:t xml:space="preserve">-year strategic framework </w:t>
      </w:r>
      <w:r w:rsidR="00FF1D9B">
        <w:t xml:space="preserve">from </w:t>
      </w:r>
      <w:r w:rsidR="0088150A" w:rsidRPr="00977918">
        <w:t>2019/20 to 202</w:t>
      </w:r>
      <w:r w:rsidR="0088150A">
        <w:t>1/22</w:t>
      </w:r>
      <w:r>
        <w:t xml:space="preserve">. </w:t>
      </w:r>
      <w:r w:rsidR="0088150A" w:rsidRPr="00977918">
        <w:t xml:space="preserve">This </w:t>
      </w:r>
      <w:r w:rsidR="00DA006E">
        <w:t xml:space="preserve">covers the </w:t>
      </w:r>
      <w:r w:rsidR="0088150A" w:rsidRPr="00977918">
        <w:t>Ministry</w:t>
      </w:r>
      <w:r w:rsidR="00A10EC0">
        <w:t>’</w:t>
      </w:r>
      <w:r w:rsidR="0088150A" w:rsidRPr="00977918">
        <w:t>s approach to preventi</w:t>
      </w:r>
      <w:r w:rsidR="00FF1D9B">
        <w:t>ng</w:t>
      </w:r>
      <w:r w:rsidR="0088150A" w:rsidRPr="00977918">
        <w:t xml:space="preserve"> and minimis</w:t>
      </w:r>
      <w:r w:rsidR="00FF1D9B">
        <w:t>ing</w:t>
      </w:r>
      <w:r w:rsidR="0088150A" w:rsidRPr="00977918">
        <w:t xml:space="preserve"> gambling harm, high-level objectives and priorities for action. It forms the strategic context for the p</w:t>
      </w:r>
      <w:r w:rsidR="00F674FF">
        <w:t>roposed three-year service plan</w:t>
      </w:r>
      <w:r>
        <w:t>. This section</w:t>
      </w:r>
      <w:r w:rsidRPr="00977918">
        <w:t xml:space="preserve"> </w:t>
      </w:r>
      <w:r>
        <w:t xml:space="preserve">also provides relevant background and context about the strategy, </w:t>
      </w:r>
      <w:r w:rsidRPr="00977918">
        <w:t>the nature of gambling in New Zealand, gambling</w:t>
      </w:r>
      <w:r w:rsidR="00FF1D9B">
        <w:t>-</w:t>
      </w:r>
      <w:r w:rsidRPr="00977918">
        <w:t>related harm</w:t>
      </w:r>
      <w:r>
        <w:t xml:space="preserve">s </w:t>
      </w:r>
      <w:r w:rsidRPr="00977918">
        <w:t xml:space="preserve">and the </w:t>
      </w:r>
      <w:r>
        <w:t xml:space="preserve">public health </w:t>
      </w:r>
      <w:r w:rsidRPr="00977918">
        <w:t>approach to gambling harm</w:t>
      </w:r>
      <w:r>
        <w:t>.</w:t>
      </w:r>
    </w:p>
    <w:p w:rsidR="0088150A" w:rsidRPr="00977918" w:rsidRDefault="00107412" w:rsidP="00CD14E4">
      <w:pPr>
        <w:pStyle w:val="Bullet"/>
        <w:numPr>
          <w:ilvl w:val="0"/>
          <w:numId w:val="0"/>
        </w:numPr>
      </w:pPr>
      <w:r>
        <w:t xml:space="preserve">Section 3 </w:t>
      </w:r>
      <w:r w:rsidR="00DA006E">
        <w:t xml:space="preserve">covers </w:t>
      </w:r>
      <w:r>
        <w:t xml:space="preserve">the </w:t>
      </w:r>
      <w:r w:rsidR="0088150A" w:rsidRPr="00977918">
        <w:t xml:space="preserve">three-year service plan </w:t>
      </w:r>
      <w:r w:rsidR="00200481">
        <w:t xml:space="preserve">for </w:t>
      </w:r>
      <w:r w:rsidR="0088150A" w:rsidRPr="00977918">
        <w:t>2019/20 to 2021/22</w:t>
      </w:r>
      <w:r>
        <w:t xml:space="preserve">. The </w:t>
      </w:r>
      <w:r w:rsidR="0088150A" w:rsidRPr="00977918">
        <w:t>service plan sets out the Ministry</w:t>
      </w:r>
      <w:r w:rsidR="00A10EC0">
        <w:t>’</w:t>
      </w:r>
      <w:r w:rsidR="0088150A" w:rsidRPr="00977918">
        <w:t>s service priorities to prevent and minimise gambling harm, and the costs of those services, for the three years from 1 July 2019 to 30 June 2022.</w:t>
      </w:r>
    </w:p>
    <w:p w:rsidR="0088150A" w:rsidRPr="00977918" w:rsidRDefault="00107412" w:rsidP="00CD14E4">
      <w:pPr>
        <w:pStyle w:val="Bullet"/>
        <w:numPr>
          <w:ilvl w:val="0"/>
          <w:numId w:val="0"/>
        </w:numPr>
      </w:pPr>
      <w:r>
        <w:t xml:space="preserve">Section 4 </w:t>
      </w:r>
      <w:r w:rsidR="00DA006E">
        <w:t xml:space="preserve">covers the </w:t>
      </w:r>
      <w:r w:rsidR="0088150A" w:rsidRPr="00977918">
        <w:t xml:space="preserve">levy rates for 2019/20 to 2021/22. This section sets out </w:t>
      </w:r>
      <w:r w:rsidR="0088150A">
        <w:t xml:space="preserve">the </w:t>
      </w:r>
      <w:r w:rsidR="0088150A" w:rsidRPr="00977918">
        <w:t xml:space="preserve">proposed levy rates for the three-year period corresponding to the term of the proposed service plan, and describes the </w:t>
      </w:r>
      <w:r>
        <w:t>pro</w:t>
      </w:r>
      <w:r w:rsidR="0088150A" w:rsidRPr="00977918">
        <w:t>cess by which the rates were calculated.</w:t>
      </w:r>
    </w:p>
    <w:p w:rsidR="00107412" w:rsidRDefault="00107412" w:rsidP="00107412">
      <w:pPr>
        <w:pStyle w:val="Bullet"/>
        <w:numPr>
          <w:ilvl w:val="0"/>
          <w:numId w:val="0"/>
        </w:numPr>
      </w:pPr>
      <w:r w:rsidRPr="00A66E90">
        <w:t xml:space="preserve">The </w:t>
      </w:r>
      <w:r w:rsidR="000C68A8">
        <w:t>s</w:t>
      </w:r>
      <w:r w:rsidRPr="00A66E90">
        <w:t xml:space="preserve">trategy and </w:t>
      </w:r>
      <w:r>
        <w:t xml:space="preserve">new </w:t>
      </w:r>
      <w:r w:rsidRPr="00A66E90">
        <w:t>problem gambling levy regulations take effect on 1 July 201</w:t>
      </w:r>
      <w:r>
        <w:t>9</w:t>
      </w:r>
      <w:r w:rsidRPr="00A66E90">
        <w:t>.</w:t>
      </w:r>
    </w:p>
    <w:p w:rsidR="0085615E" w:rsidRPr="00C10A99" w:rsidRDefault="0085615E" w:rsidP="0085615E">
      <w:pPr>
        <w:pStyle w:val="Heading3"/>
        <w:numPr>
          <w:ilvl w:val="0"/>
          <w:numId w:val="0"/>
        </w:numPr>
      </w:pPr>
      <w:r w:rsidRPr="00C10A99">
        <w:t>Alignment with other strategic documents</w:t>
      </w:r>
    </w:p>
    <w:p w:rsidR="0085615E" w:rsidRPr="00C10A99" w:rsidRDefault="0085615E" w:rsidP="0085615E">
      <w:r w:rsidRPr="00C10A99">
        <w:t xml:space="preserve">The proposed </w:t>
      </w:r>
      <w:r>
        <w:t>s</w:t>
      </w:r>
      <w:r w:rsidRPr="00C10A99">
        <w:t xml:space="preserve">trategic </w:t>
      </w:r>
      <w:r>
        <w:t>p</w:t>
      </w:r>
      <w:r w:rsidRPr="00C10A99">
        <w:t>lan continues to align with and complement a range of other strategic documents, including:</w:t>
      </w:r>
    </w:p>
    <w:p w:rsidR="0085615E" w:rsidRPr="00C10A99" w:rsidRDefault="0085615E" w:rsidP="0085615E">
      <w:pPr>
        <w:pStyle w:val="Bullet"/>
      </w:pPr>
      <w:r w:rsidRPr="00785C98">
        <w:t>New Zealand Health Strategy</w:t>
      </w:r>
      <w:r w:rsidRPr="00C10A99">
        <w:rPr>
          <w:i/>
        </w:rPr>
        <w:t xml:space="preserve"> </w:t>
      </w:r>
      <w:r w:rsidRPr="00C10A99">
        <w:t>(</w:t>
      </w:r>
      <w:r>
        <w:t>Minist</w:t>
      </w:r>
      <w:r w:rsidR="00200481">
        <w:t>er</w:t>
      </w:r>
      <w:r>
        <w:t xml:space="preserve"> of Health 2016</w:t>
      </w:r>
      <w:r w:rsidRPr="00C10A99">
        <w:t>)</w:t>
      </w:r>
    </w:p>
    <w:p w:rsidR="0085615E" w:rsidRPr="00F0060F" w:rsidRDefault="004354CD" w:rsidP="0085615E">
      <w:pPr>
        <w:pStyle w:val="Bullet"/>
      </w:pPr>
      <w:hyperlink r:id="rId22" w:history="1">
        <w:r w:rsidR="0085615E" w:rsidRPr="00F0060F">
          <w:rPr>
            <w:rFonts w:eastAsia="MS Gothic"/>
          </w:rPr>
          <w:t>He Korowai Oranga</w:t>
        </w:r>
      </w:hyperlink>
      <w:r w:rsidR="0085615E" w:rsidRPr="00F0060F">
        <w:t xml:space="preserve"> (refreshed in 2014; Ministry of Health 2014c)</w:t>
      </w:r>
    </w:p>
    <w:p w:rsidR="0085615E" w:rsidRPr="00F0060F" w:rsidRDefault="004354CD" w:rsidP="0085615E">
      <w:pPr>
        <w:pStyle w:val="Bullet"/>
        <w:rPr>
          <w:rFonts w:eastAsiaTheme="majorEastAsia"/>
        </w:rPr>
      </w:pPr>
      <w:hyperlink r:id="rId23" w:history="1">
        <w:r w:rsidR="0085615E">
          <w:rPr>
            <w:rFonts w:eastAsia="MS Gothic"/>
            <w:i/>
          </w:rPr>
          <w:t>‘Ala</w:t>
        </w:r>
        <w:r w:rsidR="0085615E" w:rsidRPr="00F0060F">
          <w:rPr>
            <w:rFonts w:eastAsia="MS Gothic"/>
            <w:i/>
          </w:rPr>
          <w:t xml:space="preserve"> Mo’ui: Pathways to Pacific Health and Wellbeing 2014–2018</w:t>
        </w:r>
      </w:hyperlink>
      <w:r w:rsidR="0085615E" w:rsidRPr="00F0060F">
        <w:rPr>
          <w:rFonts w:eastAsia="MS Gothic"/>
        </w:rPr>
        <w:t xml:space="preserve"> (Ministry of Health 2014a).</w:t>
      </w:r>
    </w:p>
    <w:p w:rsidR="0088150A" w:rsidRPr="000D164E" w:rsidRDefault="00213B7A" w:rsidP="00992B0F">
      <w:pPr>
        <w:pStyle w:val="Heading3"/>
        <w:numPr>
          <w:ilvl w:val="0"/>
          <w:numId w:val="0"/>
        </w:numPr>
      </w:pPr>
      <w:bookmarkStart w:id="5" w:name="_Toc530477961"/>
      <w:bookmarkStart w:id="6" w:name="_Toc530477962"/>
      <w:bookmarkStart w:id="7" w:name="_Toc530487391"/>
      <w:bookmarkEnd w:id="5"/>
      <w:bookmarkEnd w:id="6"/>
      <w:r>
        <w:t xml:space="preserve">Alignment with </w:t>
      </w:r>
      <w:r w:rsidR="0088150A" w:rsidRPr="000D164E">
        <w:t>Mental Health and Addiction</w:t>
      </w:r>
      <w:bookmarkEnd w:id="7"/>
      <w:r w:rsidR="0023574A">
        <w:t xml:space="preserve"> </w:t>
      </w:r>
      <w:r>
        <w:t>Inquiry</w:t>
      </w:r>
    </w:p>
    <w:p w:rsidR="001108A5" w:rsidRPr="00CD14E4" w:rsidRDefault="00E140F8" w:rsidP="003F217A">
      <w:pPr>
        <w:widowControl w:val="0"/>
        <w:overflowPunct w:val="0"/>
        <w:autoSpaceDE w:val="0"/>
        <w:autoSpaceDN w:val="0"/>
        <w:adjustRightInd w:val="0"/>
        <w:spacing w:before="120" w:after="240"/>
        <w:jc w:val="both"/>
        <w:textAlignment w:val="baseline"/>
      </w:pPr>
      <w:r w:rsidRPr="00213B7A">
        <w:t xml:space="preserve">Gambling services were excluded from the scope of the Government Inquiry into Mental Health and Addiction </w:t>
      </w:r>
      <w:r w:rsidR="00724B86">
        <w:t>due to the timeframes associated with the strategy refresh</w:t>
      </w:r>
      <w:r>
        <w:t>.</w:t>
      </w:r>
      <w:r w:rsidRPr="00213B7A">
        <w:t xml:space="preserve"> </w:t>
      </w:r>
      <w:r w:rsidR="000C7AC1">
        <w:t>However, t</w:t>
      </w:r>
      <w:r w:rsidR="001C0284" w:rsidRPr="00CD14E4">
        <w:t xml:space="preserve">he </w:t>
      </w:r>
      <w:r w:rsidR="000C68A8">
        <w:t>s</w:t>
      </w:r>
      <w:r w:rsidR="001C0284" w:rsidRPr="00CD14E4">
        <w:t xml:space="preserve">trategy </w:t>
      </w:r>
      <w:r w:rsidR="001C0284">
        <w:t xml:space="preserve">proposals </w:t>
      </w:r>
      <w:r w:rsidR="000C7AC1">
        <w:t xml:space="preserve">align strongly </w:t>
      </w:r>
      <w:r w:rsidR="001C0284" w:rsidRPr="00CD14E4">
        <w:t xml:space="preserve">with </w:t>
      </w:r>
      <w:r w:rsidR="000C7AC1">
        <w:t xml:space="preserve">the recommendations of </w:t>
      </w:r>
      <w:r w:rsidR="001C0284" w:rsidRPr="00A710BB">
        <w:rPr>
          <w:i/>
        </w:rPr>
        <w:t>He Ara Oranga</w:t>
      </w:r>
      <w:r w:rsidR="001C0284">
        <w:t>, the report of the Inquiry</w:t>
      </w:r>
      <w:r w:rsidR="00200481">
        <w:t xml:space="preserve"> </w:t>
      </w:r>
      <w:r w:rsidR="00CF2F9C">
        <w:t>(Government Inquiry into Mental Health and Addiction 2018)</w:t>
      </w:r>
      <w:r w:rsidR="000C7AC1">
        <w:t xml:space="preserve">. </w:t>
      </w:r>
      <w:r>
        <w:t>F</w:t>
      </w:r>
      <w:r w:rsidRPr="00EB3018">
        <w:t>or example</w:t>
      </w:r>
      <w:r w:rsidR="00200481">
        <w:t xml:space="preserve">, </w:t>
      </w:r>
      <w:r w:rsidR="00724B86">
        <w:t xml:space="preserve">the strategy </w:t>
      </w:r>
      <w:r w:rsidR="00200481">
        <w:t>recognises</w:t>
      </w:r>
      <w:r w:rsidRPr="00EB3018">
        <w:t xml:space="preserve"> the importance of placing people at the centre</w:t>
      </w:r>
      <w:r w:rsidR="00200481">
        <w:t xml:space="preserve"> of a service</w:t>
      </w:r>
      <w:r>
        <w:t xml:space="preserve">, </w:t>
      </w:r>
      <w:r w:rsidR="001108A5">
        <w:t xml:space="preserve">using </w:t>
      </w:r>
      <w:r>
        <w:t>service co</w:t>
      </w:r>
      <w:r w:rsidR="004D07D8">
        <w:t>-</w:t>
      </w:r>
      <w:r>
        <w:t>design</w:t>
      </w:r>
      <w:r w:rsidR="001108A5">
        <w:t xml:space="preserve"> and lived experience, </w:t>
      </w:r>
      <w:r w:rsidR="004D07D8">
        <w:t xml:space="preserve">having </w:t>
      </w:r>
      <w:r w:rsidR="001108A5">
        <w:t>consumer networks</w:t>
      </w:r>
      <w:r>
        <w:t xml:space="preserve">, </w:t>
      </w:r>
      <w:r w:rsidRPr="00EB3018">
        <w:t xml:space="preserve">expanding </w:t>
      </w:r>
      <w:r w:rsidR="001108A5">
        <w:t xml:space="preserve">the range and choice of services to be </w:t>
      </w:r>
      <w:r>
        <w:t xml:space="preserve">more holistic and culturally appropriate, </w:t>
      </w:r>
      <w:r w:rsidR="004D2B40">
        <w:t xml:space="preserve">and </w:t>
      </w:r>
      <w:r w:rsidRPr="00EB3018">
        <w:t>strengthening the mix of peer, cultural, support and clinical workforces</w:t>
      </w:r>
      <w:r w:rsidR="001108A5">
        <w:t xml:space="preserve">, </w:t>
      </w:r>
      <w:r w:rsidR="001108A5" w:rsidRPr="00CD14E4">
        <w:t xml:space="preserve">communities, tāngata whaiora and whānau. </w:t>
      </w:r>
    </w:p>
    <w:p w:rsidR="00F674FF" w:rsidRDefault="001C0284" w:rsidP="00A710BB">
      <w:pPr>
        <w:widowControl w:val="0"/>
        <w:overflowPunct w:val="0"/>
        <w:autoSpaceDE w:val="0"/>
        <w:autoSpaceDN w:val="0"/>
        <w:adjustRightInd w:val="0"/>
        <w:spacing w:before="120" w:after="240" w:line="264" w:lineRule="auto"/>
        <w:jc w:val="both"/>
        <w:textAlignment w:val="baseline"/>
      </w:pPr>
      <w:r w:rsidRPr="00A710BB">
        <w:rPr>
          <w:i/>
        </w:rPr>
        <w:t>He Ara Oranga</w:t>
      </w:r>
      <w:r>
        <w:t xml:space="preserve"> </w:t>
      </w:r>
      <w:r w:rsidRPr="00213B7A">
        <w:t>notes harmful gambling behaviours often co-exist with other forms of addiction</w:t>
      </w:r>
      <w:r w:rsidR="001108A5">
        <w:t xml:space="preserve"> and </w:t>
      </w:r>
      <w:r w:rsidR="000C7AC1">
        <w:t xml:space="preserve">mental health issues and </w:t>
      </w:r>
      <w:r w:rsidR="001108A5">
        <w:t>need to be treated as a risk factor</w:t>
      </w:r>
      <w:r>
        <w:t xml:space="preserve">. </w:t>
      </w:r>
      <w:r w:rsidR="00797AB9" w:rsidRPr="0037495A">
        <w:t xml:space="preserve">The Ministry considers that services to </w:t>
      </w:r>
      <w:r w:rsidRPr="0037495A">
        <w:t xml:space="preserve">address </w:t>
      </w:r>
      <w:r w:rsidR="00797AB9" w:rsidRPr="008A7FFE">
        <w:t>minimise harmful gambling should be included</w:t>
      </w:r>
      <w:r w:rsidR="000C7AC1">
        <w:t>,</w:t>
      </w:r>
      <w:r w:rsidR="00797AB9" w:rsidRPr="0037495A">
        <w:t xml:space="preserve"> </w:t>
      </w:r>
      <w:r w:rsidR="001108A5" w:rsidRPr="0037495A">
        <w:t xml:space="preserve">as </w:t>
      </w:r>
      <w:r w:rsidR="00797AB9" w:rsidRPr="008A7FFE">
        <w:t>changes to the wider mental health and addiction system</w:t>
      </w:r>
      <w:r w:rsidR="001108A5" w:rsidRPr="008A7FFE">
        <w:t xml:space="preserve"> arising from </w:t>
      </w:r>
      <w:r w:rsidR="001108A5" w:rsidRPr="00A710BB">
        <w:rPr>
          <w:i/>
        </w:rPr>
        <w:t xml:space="preserve">He Ara Oranga </w:t>
      </w:r>
      <w:r w:rsidR="001108A5" w:rsidRPr="0037495A">
        <w:t xml:space="preserve">are implemented. </w:t>
      </w:r>
      <w:r w:rsidR="00E140F8" w:rsidRPr="0037495A">
        <w:t xml:space="preserve"> </w:t>
      </w:r>
    </w:p>
    <w:p w:rsidR="00A10EC0" w:rsidRPr="00F776F5" w:rsidRDefault="0088150A" w:rsidP="00992B0F">
      <w:pPr>
        <w:pStyle w:val="Heading1"/>
        <w:rPr>
          <w:rFonts w:ascii="Segoe UI" w:hAnsi="Segoe UI" w:cs="Segoe UI"/>
          <w:b/>
        </w:rPr>
      </w:pPr>
      <w:bookmarkStart w:id="8" w:name="_Toc530487392"/>
      <w:bookmarkStart w:id="9" w:name="_Toc9239587"/>
      <w:r w:rsidRPr="00F776F5">
        <w:rPr>
          <w:rFonts w:ascii="Segoe UI" w:hAnsi="Segoe UI" w:cs="Segoe UI"/>
          <w:b/>
        </w:rPr>
        <w:lastRenderedPageBreak/>
        <w:t>Strategic overview</w:t>
      </w:r>
      <w:bookmarkEnd w:id="8"/>
      <w:bookmarkEnd w:id="9"/>
    </w:p>
    <w:p w:rsidR="001108A5" w:rsidRPr="00BF3CBE" w:rsidRDefault="001108A5" w:rsidP="00E93A4A">
      <w:pPr>
        <w:pStyle w:val="Heading2"/>
      </w:pPr>
      <w:bookmarkStart w:id="10" w:name="_Toc9239588"/>
      <w:bookmarkStart w:id="11" w:name="_Toc530487393"/>
      <w:r w:rsidRPr="00BF3CBE">
        <w:t>The gambling environment</w:t>
      </w:r>
      <w:bookmarkEnd w:id="10"/>
    </w:p>
    <w:bookmarkEnd w:id="11"/>
    <w:p w:rsidR="0088150A" w:rsidRPr="00E312E8" w:rsidRDefault="0088150A" w:rsidP="00992B0F">
      <w:r w:rsidRPr="00E312E8">
        <w:t xml:space="preserve">This section provides </w:t>
      </w:r>
      <w:r>
        <w:t xml:space="preserve">the </w:t>
      </w:r>
      <w:r w:rsidRPr="00E312E8">
        <w:t>context and background that inform the strategy</w:t>
      </w:r>
      <w:r>
        <w:t xml:space="preserve"> and the </w:t>
      </w:r>
      <w:r w:rsidRPr="00E312E8">
        <w:t xml:space="preserve">strategic </w:t>
      </w:r>
      <w:r>
        <w:t xml:space="preserve">framework and </w:t>
      </w:r>
      <w:r w:rsidRPr="00E312E8">
        <w:t>service plan</w:t>
      </w:r>
      <w:r>
        <w:t xml:space="preserve"> that together make up the strategy</w:t>
      </w:r>
      <w:r w:rsidRPr="00E312E8">
        <w:t>.</w:t>
      </w:r>
    </w:p>
    <w:p w:rsidR="0088150A" w:rsidRPr="00BF3CBE" w:rsidRDefault="0088150A" w:rsidP="00992B0F">
      <w:pPr>
        <w:pStyle w:val="Heading4"/>
      </w:pPr>
      <w:r w:rsidRPr="00BF3CBE">
        <w:t>Participation in gambling</w:t>
      </w:r>
    </w:p>
    <w:p w:rsidR="0088150A" w:rsidRPr="00F24893" w:rsidRDefault="0088150A" w:rsidP="00992B0F">
      <w:r w:rsidRPr="00F24893">
        <w:t>Most New Zealanders gamble at least occasionally. The Health and Lifestyles Survey (HLS) 2016 show</w:t>
      </w:r>
      <w:r>
        <w:t>ed that:</w:t>
      </w:r>
    </w:p>
    <w:p w:rsidR="0088150A" w:rsidRPr="00BF3CBE" w:rsidRDefault="0088150A" w:rsidP="00992B0F">
      <w:pPr>
        <w:pStyle w:val="Bullet"/>
        <w:rPr>
          <w:lang w:eastAsia="en-NZ"/>
        </w:rPr>
      </w:pPr>
      <w:r>
        <w:rPr>
          <w:lang w:eastAsia="en-NZ"/>
        </w:rPr>
        <w:t>70 percent of respondents (a</w:t>
      </w:r>
      <w:r w:rsidRPr="00BF3CBE">
        <w:rPr>
          <w:lang w:eastAsia="en-NZ"/>
        </w:rPr>
        <w:t>bout 2.7 million New Zealanders aged 15 years and older</w:t>
      </w:r>
      <w:r>
        <w:rPr>
          <w:lang w:eastAsia="en-NZ"/>
        </w:rPr>
        <w:t>)</w:t>
      </w:r>
      <w:r w:rsidRPr="00BF3CBE">
        <w:rPr>
          <w:lang w:eastAsia="en-NZ"/>
        </w:rPr>
        <w:t xml:space="preserve"> </w:t>
      </w:r>
      <w:r>
        <w:rPr>
          <w:lang w:eastAsia="en-NZ"/>
        </w:rPr>
        <w:t xml:space="preserve">had </w:t>
      </w:r>
      <w:r w:rsidRPr="00BF3CBE">
        <w:rPr>
          <w:lang w:eastAsia="en-NZ"/>
        </w:rPr>
        <w:t xml:space="preserve">participated in some form of gambling in the past 12 months. The overall past-year gambling rate decreased </w:t>
      </w:r>
      <w:r>
        <w:rPr>
          <w:lang w:eastAsia="en-NZ"/>
        </w:rPr>
        <w:t xml:space="preserve">between </w:t>
      </w:r>
      <w:r w:rsidRPr="00BF3CBE">
        <w:rPr>
          <w:lang w:eastAsia="en-NZ"/>
        </w:rPr>
        <w:t xml:space="preserve">2006/07 </w:t>
      </w:r>
      <w:r>
        <w:rPr>
          <w:lang w:eastAsia="en-NZ"/>
        </w:rPr>
        <w:t xml:space="preserve">and 2017, </w:t>
      </w:r>
      <w:r w:rsidRPr="00BF3CBE">
        <w:rPr>
          <w:lang w:eastAsia="en-NZ"/>
        </w:rPr>
        <w:t xml:space="preserve">but remained unchanged </w:t>
      </w:r>
      <w:r>
        <w:rPr>
          <w:lang w:eastAsia="en-NZ"/>
        </w:rPr>
        <w:t xml:space="preserve">after </w:t>
      </w:r>
      <w:r w:rsidRPr="00BF3CBE">
        <w:rPr>
          <w:lang w:eastAsia="en-NZ"/>
        </w:rPr>
        <w:t>2012</w:t>
      </w:r>
    </w:p>
    <w:p w:rsidR="00A10EC0" w:rsidRDefault="00992B0F" w:rsidP="00992B0F">
      <w:pPr>
        <w:pStyle w:val="Bullet"/>
        <w:rPr>
          <w:lang w:eastAsia="en-NZ"/>
        </w:rPr>
      </w:pPr>
      <w:r>
        <w:rPr>
          <w:lang w:eastAsia="en-NZ"/>
        </w:rPr>
        <w:t>l</w:t>
      </w:r>
      <w:r w:rsidR="0088150A">
        <w:rPr>
          <w:lang w:eastAsia="en-NZ"/>
        </w:rPr>
        <w:t xml:space="preserve">evels of gambling participation reduced between </w:t>
      </w:r>
      <w:r w:rsidR="0088150A" w:rsidRPr="00BF3CBE">
        <w:rPr>
          <w:lang w:eastAsia="en-NZ"/>
        </w:rPr>
        <w:t>2006/07 and 2016 across all age groups</w:t>
      </w:r>
      <w:r w:rsidR="0088150A">
        <w:rPr>
          <w:lang w:eastAsia="en-NZ"/>
        </w:rPr>
        <w:t>;</w:t>
      </w:r>
      <w:r w:rsidR="0088150A" w:rsidRPr="00BF3CBE">
        <w:rPr>
          <w:lang w:eastAsia="en-NZ"/>
        </w:rPr>
        <w:t xml:space="preserve"> </w:t>
      </w:r>
      <w:r w:rsidR="0088150A">
        <w:rPr>
          <w:lang w:eastAsia="en-NZ"/>
        </w:rPr>
        <w:t xml:space="preserve">rates for </w:t>
      </w:r>
      <w:r w:rsidR="0088150A" w:rsidRPr="00BF3CBE">
        <w:rPr>
          <w:lang w:eastAsia="en-NZ"/>
        </w:rPr>
        <w:t>15</w:t>
      </w:r>
      <w:r w:rsidR="0088150A">
        <w:rPr>
          <w:lang w:eastAsia="en-NZ"/>
        </w:rPr>
        <w:t>–</w:t>
      </w:r>
      <w:r w:rsidR="0088150A" w:rsidRPr="00BF3CBE">
        <w:rPr>
          <w:lang w:eastAsia="en-NZ"/>
        </w:rPr>
        <w:t>17</w:t>
      </w:r>
      <w:r w:rsidR="0088150A">
        <w:rPr>
          <w:lang w:eastAsia="en-NZ"/>
        </w:rPr>
        <w:t>-</w:t>
      </w:r>
      <w:r w:rsidR="0088150A" w:rsidRPr="00BF3CBE">
        <w:rPr>
          <w:lang w:eastAsia="en-NZ"/>
        </w:rPr>
        <w:t>year</w:t>
      </w:r>
      <w:r w:rsidR="0088150A">
        <w:rPr>
          <w:lang w:eastAsia="en-NZ"/>
        </w:rPr>
        <w:t>-</w:t>
      </w:r>
      <w:r w:rsidR="0088150A" w:rsidRPr="00BF3CBE">
        <w:rPr>
          <w:lang w:eastAsia="en-NZ"/>
        </w:rPr>
        <w:t>olds show</w:t>
      </w:r>
      <w:r w:rsidR="0088150A">
        <w:rPr>
          <w:lang w:eastAsia="en-NZ"/>
        </w:rPr>
        <w:t>ed</w:t>
      </w:r>
      <w:r w:rsidR="0088150A" w:rsidRPr="00BF3CBE">
        <w:rPr>
          <w:lang w:eastAsia="en-NZ"/>
        </w:rPr>
        <w:t xml:space="preserve"> the greatest reduction</w:t>
      </w:r>
      <w:r w:rsidR="0088150A">
        <w:rPr>
          <w:lang w:eastAsia="en-NZ"/>
        </w:rPr>
        <w:t>,</w:t>
      </w:r>
      <w:r w:rsidR="0088150A" w:rsidRPr="00BF3CBE">
        <w:rPr>
          <w:lang w:eastAsia="en-NZ"/>
        </w:rPr>
        <w:t xml:space="preserve"> and </w:t>
      </w:r>
      <w:r w:rsidR="0088150A">
        <w:rPr>
          <w:lang w:eastAsia="en-NZ"/>
        </w:rPr>
        <w:t xml:space="preserve">rates for </w:t>
      </w:r>
      <w:r w:rsidR="0088150A" w:rsidRPr="00BF3CBE">
        <w:rPr>
          <w:lang w:eastAsia="en-NZ"/>
        </w:rPr>
        <w:t>people aged 45 years and over show</w:t>
      </w:r>
      <w:r w:rsidR="0088150A">
        <w:rPr>
          <w:lang w:eastAsia="en-NZ"/>
        </w:rPr>
        <w:t>ed</w:t>
      </w:r>
      <w:r w:rsidR="0088150A" w:rsidRPr="00BF3CBE">
        <w:rPr>
          <w:lang w:eastAsia="en-NZ"/>
        </w:rPr>
        <w:t xml:space="preserve"> the least reduction. </w:t>
      </w:r>
      <w:r w:rsidR="0088150A">
        <w:rPr>
          <w:lang w:eastAsia="en-NZ"/>
        </w:rPr>
        <w:t xml:space="preserve">Rates for </w:t>
      </w:r>
      <w:r w:rsidR="0088150A" w:rsidRPr="00BF3CBE">
        <w:rPr>
          <w:lang w:eastAsia="en-NZ"/>
        </w:rPr>
        <w:t>Māori and Pacific peoples also showed decreasing participation trends.</w:t>
      </w:r>
    </w:p>
    <w:p w:rsidR="0088150A" w:rsidRDefault="0088150A" w:rsidP="00992B0F"/>
    <w:p w:rsidR="0088150A" w:rsidRDefault="0088150A" w:rsidP="00992B0F">
      <w:pPr>
        <w:rPr>
          <w:rFonts w:cs="Calibri"/>
        </w:rPr>
      </w:pPr>
      <w:r w:rsidRPr="00F24893">
        <w:t>The most popular form</w:t>
      </w:r>
      <w:r>
        <w:t>s</w:t>
      </w:r>
      <w:r w:rsidRPr="00F24893">
        <w:t xml:space="preserve"> of gambling </w:t>
      </w:r>
      <w:r>
        <w:t>in 2016 were New Zealand Lotteries Commission products (61%), followed by informal gambling (35%), sports, dog- or horse-race betting (12%), gaming</w:t>
      </w:r>
      <w:r w:rsidRPr="00BF3CBE">
        <w:rPr>
          <w:rFonts w:cs="Calibri"/>
        </w:rPr>
        <w:t xml:space="preserve"> machines at a pub or club (10%), </w:t>
      </w:r>
      <w:r>
        <w:rPr>
          <w:rFonts w:cs="Calibri"/>
        </w:rPr>
        <w:t>g</w:t>
      </w:r>
      <w:r w:rsidRPr="00BF3CBE">
        <w:rPr>
          <w:rFonts w:cs="Calibri"/>
        </w:rPr>
        <w:t>aming machines at casinos (5.1</w:t>
      </w:r>
      <w:r w:rsidR="007605AA">
        <w:rPr>
          <w:rFonts w:cs="Calibri"/>
        </w:rPr>
        <w:t>%</w:t>
      </w:r>
      <w:r w:rsidRPr="00BF3CBE">
        <w:rPr>
          <w:rFonts w:cs="Calibri"/>
        </w:rPr>
        <w:t xml:space="preserve">) </w:t>
      </w:r>
      <w:r>
        <w:rPr>
          <w:rFonts w:cs="Calibri"/>
        </w:rPr>
        <w:t xml:space="preserve">and </w:t>
      </w:r>
      <w:r w:rsidRPr="00BF3CBE">
        <w:rPr>
          <w:rFonts w:cs="Calibri"/>
        </w:rPr>
        <w:t>table games at casinos (3.3%)</w:t>
      </w:r>
      <w:r>
        <w:rPr>
          <w:rFonts w:cs="Calibri"/>
        </w:rPr>
        <w:t>.</w:t>
      </w:r>
    </w:p>
    <w:p w:rsidR="0088150A" w:rsidRDefault="0088150A" w:rsidP="00992B0F"/>
    <w:p w:rsidR="0088150A" w:rsidRPr="00F24893" w:rsidRDefault="0088150A" w:rsidP="00992B0F">
      <w:r>
        <w:t xml:space="preserve">The Act defines </w:t>
      </w:r>
      <w:r w:rsidR="00A10EC0">
        <w:t>‘</w:t>
      </w:r>
      <w:r>
        <w:t>gambling</w:t>
      </w:r>
      <w:r w:rsidR="00A10EC0">
        <w:t>’</w:t>
      </w:r>
      <w:r>
        <w:t xml:space="preserve"> and regulates various forms of gambling activities. It also </w:t>
      </w:r>
      <w:r w:rsidRPr="00F24893">
        <w:t xml:space="preserve">identifies four </w:t>
      </w:r>
      <w:r>
        <w:t xml:space="preserve">types of gambling </w:t>
      </w:r>
      <w:r w:rsidRPr="00F24893">
        <w:t>that contribute significantly to gambling harm and are subject to the problem gambling levy</w:t>
      </w:r>
      <w:r>
        <w:t>:</w:t>
      </w:r>
    </w:p>
    <w:p w:rsidR="0088150A" w:rsidRPr="00CE6B8A" w:rsidRDefault="0088150A" w:rsidP="00992B0F">
      <w:pPr>
        <w:pStyle w:val="Bullet"/>
      </w:pPr>
      <w:r w:rsidRPr="00BF3CBE">
        <w:t>non</w:t>
      </w:r>
      <w:r w:rsidR="007605AA">
        <w:t>-</w:t>
      </w:r>
      <w:r w:rsidRPr="00BF3CBE">
        <w:t>casino gaming machines (NCGM</w:t>
      </w:r>
      <w:r w:rsidR="00C23195">
        <w:t>s</w:t>
      </w:r>
      <w:r w:rsidRPr="00BF3CBE">
        <w:t xml:space="preserve"> or </w:t>
      </w:r>
      <w:r w:rsidR="00C23195">
        <w:t>‘</w:t>
      </w:r>
      <w:r w:rsidRPr="00BF3CBE">
        <w:t>pokies</w:t>
      </w:r>
      <w:r w:rsidR="00C23195">
        <w:t>’</w:t>
      </w:r>
      <w:r w:rsidR="007605AA">
        <w:t>)</w:t>
      </w:r>
      <w:r w:rsidRPr="00BF3CBE">
        <w:t xml:space="preserve"> operated by clubs, societies and some TAB venues</w:t>
      </w:r>
    </w:p>
    <w:p w:rsidR="0088150A" w:rsidRPr="00CE6B8A" w:rsidRDefault="0088150A" w:rsidP="00992B0F">
      <w:pPr>
        <w:pStyle w:val="Bullet"/>
      </w:pPr>
      <w:r>
        <w:t xml:space="preserve">the </w:t>
      </w:r>
      <w:r w:rsidRPr="00BF3CBE">
        <w:t>mixture of table games and gaming machines</w:t>
      </w:r>
      <w:r>
        <w:t xml:space="preserve"> provided by casinos</w:t>
      </w:r>
    </w:p>
    <w:p w:rsidR="0088150A" w:rsidRPr="00CE6B8A" w:rsidRDefault="0088150A" w:rsidP="00992B0F">
      <w:pPr>
        <w:pStyle w:val="Bullet"/>
      </w:pPr>
      <w:r w:rsidRPr="00BF3CBE">
        <w:t xml:space="preserve">sports and race betting </w:t>
      </w:r>
      <w:r>
        <w:t>provided by t</w:t>
      </w:r>
      <w:r w:rsidRPr="00BF3CBE">
        <w:t>he New Ze</w:t>
      </w:r>
      <w:r>
        <w:t xml:space="preserve">aland Racing Board (NZRB) </w:t>
      </w:r>
      <w:r w:rsidRPr="00BF3CBE">
        <w:t xml:space="preserve">at raceways and through TAB venues </w:t>
      </w:r>
      <w:r>
        <w:t>(s</w:t>
      </w:r>
      <w:r w:rsidRPr="00BF3CBE">
        <w:t>ome T</w:t>
      </w:r>
      <w:r>
        <w:t>AB venues</w:t>
      </w:r>
      <w:r w:rsidRPr="00BF3CBE">
        <w:t xml:space="preserve"> also operate NCGM</w:t>
      </w:r>
      <w:r>
        <w:t>s)</w:t>
      </w:r>
    </w:p>
    <w:p w:rsidR="0088150A" w:rsidRPr="00CE6B8A" w:rsidRDefault="0088150A" w:rsidP="00992B0F">
      <w:pPr>
        <w:pStyle w:val="Bullet"/>
      </w:pPr>
      <w:r w:rsidRPr="00BF3CBE">
        <w:t xml:space="preserve">a range of lottery products </w:t>
      </w:r>
      <w:r>
        <w:t>provided by t</w:t>
      </w:r>
      <w:r w:rsidRPr="00BF3CBE">
        <w:t xml:space="preserve">he New Zealand Lotteries </w:t>
      </w:r>
      <w:r>
        <w:t>C</w:t>
      </w:r>
      <w:r w:rsidRPr="00BF3CBE">
        <w:t>ommission (NZLC)</w:t>
      </w:r>
      <w:r>
        <w:t>,</w:t>
      </w:r>
      <w:r w:rsidRPr="00BF3CBE">
        <w:t xml:space="preserve"> including the national lottery, </w:t>
      </w:r>
      <w:r>
        <w:t>K</w:t>
      </w:r>
      <w:r w:rsidRPr="00BF3CBE">
        <w:t xml:space="preserve">eno and </w:t>
      </w:r>
      <w:r w:rsidR="00C23195">
        <w:t>I</w:t>
      </w:r>
      <w:r w:rsidR="00C23195" w:rsidRPr="00BF3CBE">
        <w:t xml:space="preserve">nstant </w:t>
      </w:r>
      <w:r w:rsidR="00C23195">
        <w:t xml:space="preserve">Kiwi </w:t>
      </w:r>
      <w:r w:rsidRPr="00BF3CBE">
        <w:t>(scratch) tickets.</w:t>
      </w:r>
    </w:p>
    <w:p w:rsidR="0088150A" w:rsidRPr="00BF3CBE" w:rsidRDefault="0088150A" w:rsidP="00992B0F">
      <w:pPr>
        <w:pStyle w:val="Heading4"/>
      </w:pPr>
      <w:r w:rsidRPr="00BF3CBE">
        <w:t>Gambling outlets</w:t>
      </w:r>
    </w:p>
    <w:p w:rsidR="0088150A" w:rsidRPr="0026365E" w:rsidRDefault="0088150A" w:rsidP="00992B0F">
      <w:pPr>
        <w:keepNext/>
      </w:pPr>
      <w:r>
        <w:t>Traditionally gambling has required participation at a venue or retail outlet, but this is changing as gambling providers make use of internet access and develop internet-based products, as summarised below.</w:t>
      </w:r>
    </w:p>
    <w:p w:rsidR="00992B0F" w:rsidRDefault="00992B0F" w:rsidP="00992B0F"/>
    <w:p w:rsidR="00A10EC0" w:rsidRDefault="0088150A" w:rsidP="00992B0F">
      <w:r>
        <w:t xml:space="preserve">DIA </w:t>
      </w:r>
      <w:r w:rsidRPr="0004434B">
        <w:t xml:space="preserve">reports </w:t>
      </w:r>
      <w:r>
        <w:t xml:space="preserve">that, </w:t>
      </w:r>
      <w:r w:rsidRPr="0004434B">
        <w:t>a</w:t>
      </w:r>
      <w:r w:rsidRPr="00A1247A">
        <w:t>s at 30 June 201</w:t>
      </w:r>
      <w:r>
        <w:t xml:space="preserve">8, </w:t>
      </w:r>
      <w:r w:rsidRPr="00A1247A">
        <w:t>there were 1</w:t>
      </w:r>
      <w:r>
        <w:t>,</w:t>
      </w:r>
      <w:r w:rsidRPr="00A1247A">
        <w:t>1</w:t>
      </w:r>
      <w:r>
        <w:t>4</w:t>
      </w:r>
      <w:r w:rsidRPr="00A1247A">
        <w:t>0 licensed NCGM</w:t>
      </w:r>
      <w:r w:rsidRPr="00F24893">
        <w:t xml:space="preserve"> venues active</w:t>
      </w:r>
      <w:r>
        <w:t>,</w:t>
      </w:r>
      <w:r w:rsidRPr="00F24893">
        <w:t xml:space="preserve"> operating 15</w:t>
      </w:r>
      <w:r>
        <w:t xml:space="preserve">,420 </w:t>
      </w:r>
      <w:r w:rsidRPr="00F24893">
        <w:t xml:space="preserve">machines. This reflects a trend </w:t>
      </w:r>
      <w:r>
        <w:t xml:space="preserve">of venues and machines decreasing </w:t>
      </w:r>
      <w:r w:rsidRPr="00F24893">
        <w:t>since venues peaked at more than 2</w:t>
      </w:r>
      <w:r>
        <w:t>,</w:t>
      </w:r>
      <w:r w:rsidRPr="00F24893">
        <w:t xml:space="preserve">200 in the late 1990s and machines peaked at </w:t>
      </w:r>
      <w:r w:rsidRPr="00F24893">
        <w:lastRenderedPageBreak/>
        <w:t>25</w:t>
      </w:r>
      <w:r>
        <w:t>,</w:t>
      </w:r>
      <w:r w:rsidRPr="00F24893">
        <w:t>221 in June 2003. Despite the dec</w:t>
      </w:r>
      <w:r>
        <w:t xml:space="preserve">line in </w:t>
      </w:r>
      <w:r w:rsidRPr="00F24893">
        <w:t>venue and machine numbers</w:t>
      </w:r>
      <w:r>
        <w:t>,</w:t>
      </w:r>
      <w:r w:rsidRPr="00F24893">
        <w:t xml:space="preserve"> </w:t>
      </w:r>
      <w:r>
        <w:t xml:space="preserve">total </w:t>
      </w:r>
      <w:r w:rsidRPr="00F24893">
        <w:t>NCGM expenditure continues to increase.</w:t>
      </w:r>
    </w:p>
    <w:p w:rsidR="00992B0F" w:rsidRDefault="00992B0F" w:rsidP="00992B0F"/>
    <w:p w:rsidR="0088150A" w:rsidRPr="00A10EC0" w:rsidRDefault="0088150A" w:rsidP="00992B0F">
      <w:r w:rsidRPr="00A10EC0">
        <w:t>NZLC</w:t>
      </w:r>
      <w:r w:rsidR="00A10EC0" w:rsidRPr="00A10EC0">
        <w:t>’</w:t>
      </w:r>
      <w:r w:rsidRPr="00A10EC0">
        <w:t xml:space="preserve">s </w:t>
      </w:r>
      <w:r w:rsidR="00BC06A0" w:rsidRPr="00A10EC0">
        <w:t>201</w:t>
      </w:r>
      <w:r w:rsidR="00BC06A0">
        <w:t>7/18</w:t>
      </w:r>
      <w:r w:rsidRPr="00A10EC0">
        <w:t xml:space="preserve"> annual report states that in that year there were </w:t>
      </w:r>
      <w:r w:rsidR="00E839CB">
        <w:t>1,</w:t>
      </w:r>
      <w:r w:rsidR="00BC06A0" w:rsidRPr="00A10EC0">
        <w:t>4</w:t>
      </w:r>
      <w:r w:rsidR="00BC06A0">
        <w:t>72</w:t>
      </w:r>
      <w:r w:rsidR="00BC06A0" w:rsidRPr="00A10EC0">
        <w:t xml:space="preserve"> </w:t>
      </w:r>
      <w:r w:rsidRPr="00A10EC0">
        <w:t xml:space="preserve">lottery outlets in its retail network and </w:t>
      </w:r>
      <w:r w:rsidR="00BC06A0">
        <w:t>746</w:t>
      </w:r>
      <w:r w:rsidRPr="00A10EC0">
        <w:t>,000 registered MyLotto account holders.</w:t>
      </w:r>
    </w:p>
    <w:p w:rsidR="00992B0F" w:rsidRDefault="00992B0F" w:rsidP="00992B0F">
      <w:pPr>
        <w:rPr>
          <w:lang w:eastAsia="en-NZ"/>
        </w:rPr>
      </w:pPr>
    </w:p>
    <w:p w:rsidR="0088150A" w:rsidRPr="0026365E" w:rsidRDefault="0088150A" w:rsidP="00992B0F">
      <w:pPr>
        <w:rPr>
          <w:lang w:eastAsia="en-NZ"/>
        </w:rPr>
      </w:pPr>
      <w:r w:rsidRPr="00BF3CBE">
        <w:rPr>
          <w:lang w:eastAsia="en-NZ"/>
        </w:rPr>
        <w:t>NZRB</w:t>
      </w:r>
      <w:r w:rsidR="00A10EC0">
        <w:rPr>
          <w:lang w:eastAsia="en-NZ"/>
        </w:rPr>
        <w:t>’</w:t>
      </w:r>
      <w:r>
        <w:rPr>
          <w:lang w:eastAsia="en-NZ"/>
        </w:rPr>
        <w:t>s</w:t>
      </w:r>
      <w:r w:rsidRPr="00BF3CBE">
        <w:rPr>
          <w:lang w:eastAsia="en-NZ"/>
        </w:rPr>
        <w:t xml:space="preserve"> </w:t>
      </w:r>
      <w:r w:rsidRPr="00A10EC0">
        <w:rPr>
          <w:rFonts w:cs="Arial"/>
        </w:rPr>
        <w:t xml:space="preserve">2016/17 annual </w:t>
      </w:r>
      <w:r w:rsidRPr="00BF3CBE">
        <w:rPr>
          <w:lang w:eastAsia="en-NZ"/>
        </w:rPr>
        <w:t>report</w:t>
      </w:r>
      <w:r w:rsidRPr="0026365E">
        <w:rPr>
          <w:lang w:eastAsia="en-NZ"/>
        </w:rPr>
        <w:t xml:space="preserve"> </w:t>
      </w:r>
      <w:r w:rsidRPr="00BF3CBE">
        <w:rPr>
          <w:lang w:eastAsia="en-NZ"/>
        </w:rPr>
        <w:t>s</w:t>
      </w:r>
      <w:r w:rsidRPr="0026365E">
        <w:rPr>
          <w:lang w:eastAsia="en-NZ"/>
        </w:rPr>
        <w:t xml:space="preserve">tates </w:t>
      </w:r>
      <w:r>
        <w:rPr>
          <w:lang w:eastAsia="en-NZ"/>
        </w:rPr>
        <w:t xml:space="preserve">that in that year </w:t>
      </w:r>
      <w:r w:rsidRPr="00BF3CBE">
        <w:rPr>
          <w:lang w:eastAsia="en-NZ"/>
        </w:rPr>
        <w:t>there were</w:t>
      </w:r>
      <w:r w:rsidRPr="0026365E">
        <w:rPr>
          <w:lang w:eastAsia="en-NZ"/>
        </w:rPr>
        <w:t xml:space="preserve"> </w:t>
      </w:r>
      <w:r w:rsidRPr="00BF3CBE">
        <w:rPr>
          <w:lang w:eastAsia="en-NZ"/>
        </w:rPr>
        <w:t>680 retail TAB outlets</w:t>
      </w:r>
      <w:r>
        <w:rPr>
          <w:lang w:eastAsia="en-NZ"/>
        </w:rPr>
        <w:t>,</w:t>
      </w:r>
      <w:r w:rsidRPr="00A10EC0">
        <w:rPr>
          <w:rFonts w:cs="Arial"/>
        </w:rPr>
        <w:t xml:space="preserve"> and that </w:t>
      </w:r>
      <w:r w:rsidRPr="00BF3CBE">
        <w:rPr>
          <w:lang w:eastAsia="en-NZ"/>
        </w:rPr>
        <w:t>more than 190,000 TAB account</w:t>
      </w:r>
      <w:r>
        <w:rPr>
          <w:lang w:eastAsia="en-NZ"/>
        </w:rPr>
        <w:t xml:space="preserve"> </w:t>
      </w:r>
      <w:r w:rsidRPr="00BF3CBE">
        <w:rPr>
          <w:lang w:eastAsia="en-NZ"/>
        </w:rPr>
        <w:t>holders plac</w:t>
      </w:r>
      <w:r>
        <w:rPr>
          <w:lang w:eastAsia="en-NZ"/>
        </w:rPr>
        <w:t>ed</w:t>
      </w:r>
      <w:r w:rsidRPr="00BF3CBE">
        <w:rPr>
          <w:lang w:eastAsia="en-NZ"/>
        </w:rPr>
        <w:t xml:space="preserve"> a bet in 2016/17</w:t>
      </w:r>
      <w:r w:rsidRPr="00C60A3F">
        <w:rPr>
          <w:lang w:eastAsia="en-NZ"/>
        </w:rPr>
        <w:t xml:space="preserve">. </w:t>
      </w:r>
      <w:r>
        <w:rPr>
          <w:lang w:eastAsia="en-NZ"/>
        </w:rPr>
        <w:t xml:space="preserve">It </w:t>
      </w:r>
      <w:r w:rsidRPr="00C60A3F">
        <w:rPr>
          <w:lang w:eastAsia="en-NZ"/>
        </w:rPr>
        <w:t xml:space="preserve">also reports that </w:t>
      </w:r>
      <w:r w:rsidRPr="00BF3CBE">
        <w:rPr>
          <w:lang w:eastAsia="en-NZ"/>
        </w:rPr>
        <w:t xml:space="preserve">43 </w:t>
      </w:r>
      <w:r w:rsidRPr="0026365E">
        <w:rPr>
          <w:lang w:eastAsia="en-NZ"/>
        </w:rPr>
        <w:t xml:space="preserve">of </w:t>
      </w:r>
      <w:r w:rsidRPr="00BF3CBE">
        <w:rPr>
          <w:lang w:eastAsia="en-NZ"/>
        </w:rPr>
        <w:t xml:space="preserve">the </w:t>
      </w:r>
      <w:r w:rsidRPr="0026365E">
        <w:rPr>
          <w:lang w:eastAsia="en-NZ"/>
        </w:rPr>
        <w:t xml:space="preserve">78 TAB </w:t>
      </w:r>
      <w:r>
        <w:rPr>
          <w:lang w:eastAsia="en-NZ"/>
        </w:rPr>
        <w:t xml:space="preserve">operated </w:t>
      </w:r>
      <w:r w:rsidRPr="0026365E">
        <w:rPr>
          <w:lang w:eastAsia="en-NZ"/>
        </w:rPr>
        <w:t>venues hosted gaming machines</w:t>
      </w:r>
      <w:r w:rsidRPr="00BF3CBE">
        <w:rPr>
          <w:lang w:eastAsia="en-NZ"/>
        </w:rPr>
        <w:t xml:space="preserve"> (compared with 33 </w:t>
      </w:r>
      <w:r w:rsidR="00C23195">
        <w:rPr>
          <w:lang w:eastAsia="en-NZ"/>
        </w:rPr>
        <w:t xml:space="preserve">TAB </w:t>
      </w:r>
      <w:r w:rsidRPr="00BF3CBE">
        <w:rPr>
          <w:lang w:eastAsia="en-NZ"/>
        </w:rPr>
        <w:t xml:space="preserve">venues hosting gaming </w:t>
      </w:r>
      <w:r w:rsidRPr="00FA6EB3">
        <w:rPr>
          <w:lang w:eastAsia="en-NZ"/>
        </w:rPr>
        <w:t>machines</w:t>
      </w:r>
      <w:r w:rsidRPr="00BF3CBE">
        <w:rPr>
          <w:lang w:eastAsia="en-NZ"/>
        </w:rPr>
        <w:t xml:space="preserve"> in 2013/14)</w:t>
      </w:r>
      <w:r w:rsidRPr="0026365E">
        <w:rPr>
          <w:lang w:eastAsia="en-NZ"/>
        </w:rPr>
        <w:t>.</w:t>
      </w:r>
    </w:p>
    <w:p w:rsidR="00992B0F" w:rsidRDefault="00992B0F" w:rsidP="00992B0F"/>
    <w:p w:rsidR="0088150A" w:rsidRPr="00F24893" w:rsidRDefault="0088150A" w:rsidP="00992B0F">
      <w:r w:rsidRPr="0026365E">
        <w:t xml:space="preserve">There </w:t>
      </w:r>
      <w:r>
        <w:t>are</w:t>
      </w:r>
      <w:r w:rsidRPr="0004434B">
        <w:t xml:space="preserve"> six casinos in New Zealand: one each in Auckland, Hamilton, Christchurch and Dunedin and two in Queenstown</w:t>
      </w:r>
      <w:r w:rsidRPr="00A1247A">
        <w:t>. They operate a total of just over 2</w:t>
      </w:r>
      <w:r>
        <w:t>,</w:t>
      </w:r>
      <w:r w:rsidRPr="00A1247A">
        <w:t xml:space="preserve">800 gaming machines and just under 200 table games. The Christchurch Casino was the first to open, in 1994. The Hamilton casino was the last, in 2002. The Act prohibits any more casinos. The Auckland casino generates </w:t>
      </w:r>
      <w:r>
        <w:t xml:space="preserve">approximately </w:t>
      </w:r>
      <w:r w:rsidRPr="00A1247A">
        <w:t>three-quarters of New Zealand</w:t>
      </w:r>
      <w:r w:rsidR="00A10EC0">
        <w:t>’</w:t>
      </w:r>
      <w:r w:rsidRPr="00A1247A">
        <w:t>s casino gambling expenditure</w:t>
      </w:r>
      <w:r>
        <w:t>.</w:t>
      </w:r>
    </w:p>
    <w:p w:rsidR="00992B0F" w:rsidRDefault="00992B0F" w:rsidP="00992B0F"/>
    <w:p w:rsidR="0088150A" w:rsidRPr="008E3950" w:rsidRDefault="0088150A" w:rsidP="00992B0F">
      <w:r w:rsidRPr="008E3950">
        <w:t>Since 2005</w:t>
      </w:r>
      <w:r>
        <w:t>,</w:t>
      </w:r>
      <w:r w:rsidRPr="008E3950">
        <w:t xml:space="preserve"> several analyses have shown an association between numbers of NCGM venues, numbers of NCGMs and NCGM expenditure on the one hand and higher deprivation on the other. </w:t>
      </w:r>
      <w:r w:rsidR="00DE359A">
        <w:t>Most recently, t</w:t>
      </w:r>
      <w:r>
        <w:t xml:space="preserve">he </w:t>
      </w:r>
      <w:r w:rsidRPr="00A710BB">
        <w:rPr>
          <w:i/>
        </w:rPr>
        <w:t>Gambling Harm Reduction Needs Assessment</w:t>
      </w:r>
      <w:r>
        <w:t xml:space="preserve"> </w:t>
      </w:r>
      <w:r w:rsidR="007605AA">
        <w:t xml:space="preserve">(Rook et al 2018) </w:t>
      </w:r>
      <w:r>
        <w:t xml:space="preserve">shows that gambling outlets tend to be </w:t>
      </w:r>
      <w:r w:rsidRPr="008E3950">
        <w:t>located in</w:t>
      </w:r>
      <w:r>
        <w:t xml:space="preserve"> areas with a </w:t>
      </w:r>
      <w:r w:rsidRPr="008E3950">
        <w:t xml:space="preserve">higher </w:t>
      </w:r>
      <w:r>
        <w:t xml:space="preserve">social </w:t>
      </w:r>
      <w:r w:rsidRPr="008E3950">
        <w:t xml:space="preserve">deprivation </w:t>
      </w:r>
      <w:r>
        <w:t>rating; for example, about 50 percent of all NCGMs are located in areas with a high social deprivation rating. Section 2.9 discusses this further.</w:t>
      </w:r>
    </w:p>
    <w:p w:rsidR="0088150A" w:rsidRDefault="0088150A" w:rsidP="00992B0F">
      <w:pPr>
        <w:pStyle w:val="Heading4"/>
      </w:pPr>
      <w:r w:rsidRPr="00BF3CBE">
        <w:t>Online gambling</w:t>
      </w:r>
    </w:p>
    <w:p w:rsidR="00A10EC0" w:rsidRDefault="0088150A" w:rsidP="00992B0F">
      <w:r>
        <w:rPr>
          <w:szCs w:val="22"/>
        </w:rPr>
        <w:t xml:space="preserve">Significantly, </w:t>
      </w:r>
      <w:r w:rsidR="00AE16E6">
        <w:rPr>
          <w:szCs w:val="22"/>
        </w:rPr>
        <w:t>as shown above</w:t>
      </w:r>
      <w:r w:rsidR="0099610B">
        <w:rPr>
          <w:szCs w:val="22"/>
        </w:rPr>
        <w:t>,</w:t>
      </w:r>
      <w:r w:rsidR="00AE16E6">
        <w:rPr>
          <w:szCs w:val="22"/>
        </w:rPr>
        <w:t xml:space="preserve"> </w:t>
      </w:r>
      <w:r>
        <w:rPr>
          <w:szCs w:val="22"/>
        </w:rPr>
        <w:t xml:space="preserve">an increasing </w:t>
      </w:r>
      <w:r w:rsidRPr="008E3950">
        <w:t xml:space="preserve">number of people in New Zealand purchase NZLC products </w:t>
      </w:r>
      <w:r>
        <w:t xml:space="preserve">or place bets on NZRB products </w:t>
      </w:r>
      <w:r w:rsidRPr="008E3950">
        <w:t>online</w:t>
      </w:r>
      <w:r>
        <w:t>.</w:t>
      </w:r>
    </w:p>
    <w:p w:rsidR="0088150A" w:rsidRDefault="0088150A" w:rsidP="00992B0F"/>
    <w:p w:rsidR="00A10EC0" w:rsidRDefault="0088150A" w:rsidP="003608D7">
      <w:r>
        <w:t xml:space="preserve">There are concerns about the growing opportunities for online gambling, including those offered by </w:t>
      </w:r>
      <w:r w:rsidRPr="00845F3E">
        <w:t>overseas-based</w:t>
      </w:r>
      <w:r w:rsidRPr="008E3950">
        <w:t xml:space="preserve"> gambling operators</w:t>
      </w:r>
      <w:r>
        <w:t xml:space="preserve">, and their potential to increase harmful gambling behaviour. Submissions </w:t>
      </w:r>
      <w:r w:rsidR="00AE16E6">
        <w:t xml:space="preserve">on the strategy </w:t>
      </w:r>
      <w:r>
        <w:t>from service providers and health groups expressed concerns about the ubiquitous nature of online gambling and gaming convergence (see below): particularly in terms of the potential impact on vulnerable groups including Māori and Pacific youth.</w:t>
      </w:r>
    </w:p>
    <w:p w:rsidR="0088150A" w:rsidRDefault="0088150A" w:rsidP="003608D7"/>
    <w:p w:rsidR="00A10EC0" w:rsidRDefault="0088150A" w:rsidP="003608D7">
      <w:pPr>
        <w:keepLines/>
      </w:pPr>
      <w:r>
        <w:t xml:space="preserve">Observation of </w:t>
      </w:r>
      <w:r w:rsidRPr="00C10A99">
        <w:t xml:space="preserve">patterns of online gambling in overseas jurisdictions </w:t>
      </w:r>
      <w:r w:rsidR="00AE16E6">
        <w:t xml:space="preserve">has </w:t>
      </w:r>
      <w:r>
        <w:t xml:space="preserve">led </w:t>
      </w:r>
      <w:r w:rsidR="00AE16E6">
        <w:t xml:space="preserve">to </w:t>
      </w:r>
      <w:r>
        <w:t xml:space="preserve">stakeholders </w:t>
      </w:r>
      <w:r w:rsidR="00AE16E6">
        <w:t xml:space="preserve">expressing </w:t>
      </w:r>
      <w:r>
        <w:t xml:space="preserve">concerns that </w:t>
      </w:r>
      <w:r w:rsidRPr="00C10A99">
        <w:t>New Zealanders</w:t>
      </w:r>
      <w:r w:rsidR="00A10EC0">
        <w:t>’</w:t>
      </w:r>
      <w:r w:rsidRPr="00C10A99">
        <w:t xml:space="preserve"> participation in online gambling</w:t>
      </w:r>
      <w:r>
        <w:t xml:space="preserve"> </w:t>
      </w:r>
      <w:r w:rsidR="00AE16E6">
        <w:t xml:space="preserve">may </w:t>
      </w:r>
      <w:r w:rsidR="00AE16E6" w:rsidRPr="00C10A99">
        <w:t>dramatic</w:t>
      </w:r>
      <w:r w:rsidR="00AE16E6">
        <w:t>ally</w:t>
      </w:r>
      <w:r w:rsidR="00AE16E6" w:rsidDel="00AE16E6">
        <w:t xml:space="preserve"> </w:t>
      </w:r>
      <w:r w:rsidR="00AE16E6">
        <w:t>increase</w:t>
      </w:r>
      <w:r>
        <w:t xml:space="preserve">. </w:t>
      </w:r>
      <w:r w:rsidR="00AE16E6">
        <w:t>An i</w:t>
      </w:r>
      <w:r>
        <w:t xml:space="preserve">ncrease in online gambling overseas is attributed to the growth in </w:t>
      </w:r>
      <w:r w:rsidRPr="00C10A99">
        <w:t xml:space="preserve">online providers and products facilitated by rapid changes in technology, increasing ease of access </w:t>
      </w:r>
      <w:r>
        <w:t xml:space="preserve">to the </w:t>
      </w:r>
      <w:r w:rsidRPr="00C10A99">
        <w:t>internet</w:t>
      </w:r>
      <w:r w:rsidR="00AE16E6">
        <w:t>,</w:t>
      </w:r>
      <w:r w:rsidRPr="00C10A99">
        <w:t xml:space="preserve"> and </w:t>
      </w:r>
      <w:r>
        <w:t xml:space="preserve">the widespread </w:t>
      </w:r>
      <w:r w:rsidRPr="00C10A99">
        <w:t>prevalence of digital devices.</w:t>
      </w:r>
    </w:p>
    <w:p w:rsidR="0088150A" w:rsidRDefault="0088150A" w:rsidP="003608D7"/>
    <w:p w:rsidR="0088150A" w:rsidRDefault="0088150A" w:rsidP="003608D7">
      <w:r>
        <w:t xml:space="preserve">Previous research into </w:t>
      </w:r>
      <w:r w:rsidRPr="00C10A99">
        <w:t>New Zealanders</w:t>
      </w:r>
      <w:r w:rsidR="00A10EC0">
        <w:t>’</w:t>
      </w:r>
      <w:r w:rsidRPr="00C10A99">
        <w:t xml:space="preserve"> overseas gambling patterns </w:t>
      </w:r>
      <w:r>
        <w:t>has shown very low participation rates and</w:t>
      </w:r>
      <w:r w:rsidR="00AE16E6">
        <w:t xml:space="preserve"> low</w:t>
      </w:r>
      <w:r>
        <w:t xml:space="preserve"> levels of reported expenditure.</w:t>
      </w:r>
      <w:r>
        <w:rPr>
          <w:rStyle w:val="FootnoteReference"/>
        </w:rPr>
        <w:footnoteReference w:id="1"/>
      </w:r>
      <w:r>
        <w:t xml:space="preserve"> </w:t>
      </w:r>
      <w:r w:rsidR="00AE16E6">
        <w:t>More r</w:t>
      </w:r>
      <w:r>
        <w:t xml:space="preserve">ecently, however, the availability of smart, internet-based technologies and devices (and </w:t>
      </w:r>
      <w:r>
        <w:lastRenderedPageBreak/>
        <w:t>gaming convergence</w:t>
      </w:r>
      <w:r w:rsidR="00AE16E6">
        <w:t xml:space="preserve"> as</w:t>
      </w:r>
      <w:r>
        <w:t xml:space="preserve"> discussed below) has steadily grown, and with it the risk of increased gambling harm.</w:t>
      </w:r>
    </w:p>
    <w:p w:rsidR="0088150A" w:rsidRPr="00BF3CBE" w:rsidRDefault="0088150A" w:rsidP="003608D7">
      <w:pPr>
        <w:pStyle w:val="Heading4"/>
      </w:pPr>
      <w:r w:rsidRPr="00BF3CBE">
        <w:t>Gaming convergence</w:t>
      </w:r>
    </w:p>
    <w:p w:rsidR="0088150A" w:rsidRDefault="0088150A" w:rsidP="003608D7">
      <w:pPr>
        <w:rPr>
          <w:lang w:eastAsia="zh-CN"/>
        </w:rPr>
      </w:pPr>
      <w:r>
        <w:rPr>
          <w:lang w:eastAsia="zh-CN"/>
        </w:rPr>
        <w:t xml:space="preserve">For the purposes of the strategy, </w:t>
      </w:r>
      <w:r w:rsidR="00A10EC0">
        <w:rPr>
          <w:lang w:eastAsia="zh-CN"/>
        </w:rPr>
        <w:t>‘</w:t>
      </w:r>
      <w:r>
        <w:rPr>
          <w:lang w:eastAsia="zh-CN"/>
        </w:rPr>
        <w:t>gaming convergence</w:t>
      </w:r>
      <w:r w:rsidR="00A10EC0">
        <w:rPr>
          <w:lang w:eastAsia="zh-CN"/>
        </w:rPr>
        <w:t>’</w:t>
      </w:r>
      <w:r>
        <w:rPr>
          <w:lang w:eastAsia="zh-CN"/>
        </w:rPr>
        <w:t xml:space="preserve"> refers to the merging of gambling and gaming elements in a single product. The</w:t>
      </w:r>
      <w:r w:rsidR="005E4DC3">
        <w:rPr>
          <w:lang w:eastAsia="zh-CN"/>
        </w:rPr>
        <w:t xml:space="preserve"> two </w:t>
      </w:r>
      <w:r>
        <w:rPr>
          <w:lang w:eastAsia="zh-CN"/>
        </w:rPr>
        <w:t>main examples</w:t>
      </w:r>
      <w:r w:rsidR="0099610B">
        <w:rPr>
          <w:lang w:eastAsia="zh-CN"/>
        </w:rPr>
        <w:t xml:space="preserve"> are where</w:t>
      </w:r>
      <w:r>
        <w:rPr>
          <w:lang w:eastAsia="zh-CN"/>
        </w:rPr>
        <w:t>:</w:t>
      </w:r>
    </w:p>
    <w:p w:rsidR="0088150A" w:rsidRDefault="0088150A" w:rsidP="003608D7">
      <w:pPr>
        <w:pStyle w:val="Bullet"/>
      </w:pPr>
      <w:r>
        <w:t>gambling takes on the visual and aural queues associated with gaming; for example, virtual reality-enabled Instant Kiwi tickets here in New Zealand. These forms of gambling are also an example of continuous gambling, which research shows poses an increased risk of harm</w:t>
      </w:r>
    </w:p>
    <w:p w:rsidR="00A10EC0" w:rsidRDefault="0088150A" w:rsidP="003608D7">
      <w:pPr>
        <w:pStyle w:val="Bullet"/>
      </w:pPr>
      <w:r>
        <w:t xml:space="preserve">video games include elements of what appears to be gambling (but does not currently meet the definition of gambling under the Act); for example, opening loot boxes and spinning wheels to unlock </w:t>
      </w:r>
      <w:r w:rsidR="00A10EC0">
        <w:t>‘</w:t>
      </w:r>
      <w:r>
        <w:t>power ups</w:t>
      </w:r>
      <w:r w:rsidR="00A10EC0">
        <w:t>’</w:t>
      </w:r>
      <w:r>
        <w:t>.</w:t>
      </w:r>
    </w:p>
    <w:p w:rsidR="003608D7" w:rsidRDefault="003608D7" w:rsidP="003608D7"/>
    <w:p w:rsidR="00A10EC0" w:rsidRDefault="0088150A" w:rsidP="003608D7">
      <w:r>
        <w:t xml:space="preserve">Gaming convergence, when coupled with </w:t>
      </w:r>
      <w:r w:rsidRPr="004D7AD1">
        <w:t>associated increased levels of advertising and internet</w:t>
      </w:r>
      <w:r>
        <w:t>-</w:t>
      </w:r>
      <w:r w:rsidRPr="004D7AD1">
        <w:t xml:space="preserve">based payment systems that make it easier to spend money on gambling products, </w:t>
      </w:r>
      <w:r>
        <w:t xml:space="preserve">represents </w:t>
      </w:r>
      <w:r w:rsidRPr="004D7AD1">
        <w:t>the emergence of new levels of exposure to high</w:t>
      </w:r>
      <w:r>
        <w:t>-</w:t>
      </w:r>
      <w:r w:rsidRPr="004D7AD1">
        <w:t xml:space="preserve">risk gambling products in </w:t>
      </w:r>
      <w:r>
        <w:t>New Zealand</w:t>
      </w:r>
      <w:r w:rsidRPr="004D7AD1">
        <w:t xml:space="preserve">, and the associated probability of </w:t>
      </w:r>
      <w:r>
        <w:t>related gambling harm.</w:t>
      </w:r>
    </w:p>
    <w:p w:rsidR="003608D7" w:rsidRDefault="003608D7" w:rsidP="003608D7"/>
    <w:p w:rsidR="0088150A" w:rsidRDefault="0088150A" w:rsidP="003608D7">
      <w:r>
        <w:t xml:space="preserve">Associated with gaming convergence is the </w:t>
      </w:r>
      <w:r w:rsidRPr="004D7AD1">
        <w:t xml:space="preserve">potential harm from </w:t>
      </w:r>
      <w:r>
        <w:t xml:space="preserve">increasing </w:t>
      </w:r>
      <w:r w:rsidRPr="004D7AD1">
        <w:t xml:space="preserve">opportunities to play games that </w:t>
      </w:r>
      <w:r>
        <w:t xml:space="preserve">simulate gambling; that is, they </w:t>
      </w:r>
      <w:r w:rsidRPr="004D7AD1">
        <w:t>look and feel like gambling</w:t>
      </w:r>
      <w:r>
        <w:t>,</w:t>
      </w:r>
      <w:r w:rsidRPr="004D7AD1">
        <w:t xml:space="preserve"> but do not meet the definition under the Act (</w:t>
      </w:r>
      <w:r>
        <w:t>because</w:t>
      </w:r>
      <w:r w:rsidRPr="004D7AD1">
        <w:t xml:space="preserve"> there is no opportunity to stake, win or lose real money). </w:t>
      </w:r>
      <w:r>
        <w:t>For example, m</w:t>
      </w:r>
      <w:r w:rsidRPr="004D7AD1">
        <w:t xml:space="preserve">any online gambling websites promote their </w:t>
      </w:r>
      <w:r>
        <w:t xml:space="preserve">services </w:t>
      </w:r>
      <w:r w:rsidRPr="004D7AD1">
        <w:t>with free-to-play games that appear to be gambling</w:t>
      </w:r>
      <w:r>
        <w:t xml:space="preserve">, but do not involve </w:t>
      </w:r>
      <w:r w:rsidR="00A10EC0">
        <w:t>‘</w:t>
      </w:r>
      <w:r>
        <w:t>real money</w:t>
      </w:r>
      <w:r w:rsidR="00A10EC0">
        <w:t>’</w:t>
      </w:r>
      <w:r w:rsidRPr="004D7AD1">
        <w:t xml:space="preserve"> These free-to-play sites appear to avoid the Gambling Act </w:t>
      </w:r>
      <w:r>
        <w:t xml:space="preserve">2003 </w:t>
      </w:r>
      <w:r w:rsidRPr="004D7AD1">
        <w:t>prohibition on advertising as, by definition, no gambling is taking place on the site advertised. For example, SKYCITY launched a free-to-play online gaming site in 2015 with virtual gaming machines (simulated pokies) and table games.</w:t>
      </w:r>
    </w:p>
    <w:p w:rsidR="0088150A" w:rsidRDefault="0088150A" w:rsidP="003608D7"/>
    <w:p w:rsidR="0088150A" w:rsidRDefault="0088150A" w:rsidP="003608D7">
      <w:r>
        <w:t>G</w:t>
      </w:r>
      <w:r w:rsidRPr="004D7AD1">
        <w:t>ambling providers in New Zealand</w:t>
      </w:r>
      <w:r>
        <w:t>, including SkyCity,</w:t>
      </w:r>
      <w:r w:rsidRPr="004D7AD1">
        <w:t xml:space="preserve"> have expressed interest in broadening their gambling products (</w:t>
      </w:r>
      <w:r>
        <w:t xml:space="preserve">eg, by </w:t>
      </w:r>
      <w:r w:rsidRPr="004D7AD1">
        <w:t xml:space="preserve">moving online </w:t>
      </w:r>
      <w:r>
        <w:t xml:space="preserve">or </w:t>
      </w:r>
      <w:r w:rsidRPr="004D7AD1">
        <w:t>increasing competitiveness with overseas markets).</w:t>
      </w:r>
    </w:p>
    <w:p w:rsidR="0088150A" w:rsidRDefault="0088150A" w:rsidP="003608D7"/>
    <w:p w:rsidR="0088150A" w:rsidRPr="003608D7" w:rsidRDefault="0088150A" w:rsidP="003608D7">
      <w:r>
        <w:t>Submissions from service providers and health groups expressed concerns about gaming convergence, particularly in terms of the potential impact on vulnerable groups including Māori and Pacific youth.</w:t>
      </w:r>
    </w:p>
    <w:p w:rsidR="0088150A" w:rsidRDefault="0088150A" w:rsidP="003608D7">
      <w:pPr>
        <w:pStyle w:val="Heading4"/>
      </w:pPr>
      <w:r w:rsidRPr="000D164E">
        <w:t>Gambling expenditure</w:t>
      </w:r>
    </w:p>
    <w:p w:rsidR="0088150A" w:rsidRPr="003608D7" w:rsidRDefault="0088150A" w:rsidP="003608D7">
      <w:r>
        <w:t>According to DIA, total gambling expenditure (player losses) on the four main forms of gambling is continuing a trend of increasing each year: refer to Section 4 for details. In particular, it has found the following</w:t>
      </w:r>
      <w:r w:rsidR="0099610B">
        <w:t>.</w:t>
      </w:r>
    </w:p>
    <w:p w:rsidR="00A10EC0" w:rsidRDefault="0088150A" w:rsidP="003608D7">
      <w:pPr>
        <w:pStyle w:val="Bullet"/>
      </w:pPr>
      <w:r>
        <w:t xml:space="preserve">Total gambling expenditure in </w:t>
      </w:r>
      <w:r w:rsidR="00752711">
        <w:t>2017</w:t>
      </w:r>
      <w:r>
        <w:t>/1</w:t>
      </w:r>
      <w:r w:rsidR="00752711">
        <w:t>8</w:t>
      </w:r>
      <w:r>
        <w:t xml:space="preserve"> (the most recent year surveyed for all four gambling sectors) was $2,</w:t>
      </w:r>
      <w:r w:rsidR="00752711">
        <w:t xml:space="preserve">383 </w:t>
      </w:r>
      <w:r>
        <w:t xml:space="preserve">million for the four main forms of gambling. This represented an increase of </w:t>
      </w:r>
      <w:r w:rsidR="00752711">
        <w:t>2.1</w:t>
      </w:r>
      <w:r w:rsidR="007131F6">
        <w:t xml:space="preserve"> percent</w:t>
      </w:r>
      <w:r w:rsidR="0099610B">
        <w:t xml:space="preserve"> </w:t>
      </w:r>
      <w:r>
        <w:t xml:space="preserve">on the </w:t>
      </w:r>
      <w:r w:rsidR="00752711">
        <w:t>2016</w:t>
      </w:r>
      <w:r>
        <w:t>/</w:t>
      </w:r>
      <w:r w:rsidR="00752711">
        <w:t xml:space="preserve">17 </w:t>
      </w:r>
      <w:r>
        <w:t xml:space="preserve">year and an increase of approximately </w:t>
      </w:r>
      <w:r w:rsidR="00752711">
        <w:t xml:space="preserve">7.9 </w:t>
      </w:r>
      <w:r w:rsidR="007131F6">
        <w:t>percent</w:t>
      </w:r>
      <w:r>
        <w:t xml:space="preserve"> on the </w:t>
      </w:r>
      <w:r w:rsidR="00752711">
        <w:t>2015</w:t>
      </w:r>
      <w:r>
        <w:t>/1</w:t>
      </w:r>
      <w:r w:rsidR="00752711">
        <w:t>6</w:t>
      </w:r>
      <w:r w:rsidRPr="00541B61">
        <w:t xml:space="preserve"> </w:t>
      </w:r>
      <w:r>
        <w:t>year.</w:t>
      </w:r>
    </w:p>
    <w:p w:rsidR="0088150A" w:rsidRDefault="0088150A" w:rsidP="003608D7">
      <w:pPr>
        <w:pStyle w:val="Bullet"/>
      </w:pPr>
      <w:r>
        <w:t>E</w:t>
      </w:r>
      <w:r w:rsidRPr="00C10A99">
        <w:t>xpenditure</w:t>
      </w:r>
      <w:r>
        <w:t xml:space="preserve"> on NCGMs continues to increase from a low in 2013/14, with increases of around 3 percent per year since 2014/15. For 2017/18 the total was $895 </w:t>
      </w:r>
      <w:r w:rsidR="003608D7">
        <w:t>million.</w:t>
      </w:r>
    </w:p>
    <w:p w:rsidR="0088150A" w:rsidRDefault="0088150A" w:rsidP="003608D7">
      <w:pPr>
        <w:pStyle w:val="Bullet"/>
      </w:pPr>
      <w:r>
        <w:lastRenderedPageBreak/>
        <w:t>Expenditure on NZLC products in 2016/17 increased significantly, after a number of years averaging smaller increases (note: annual expenditure on Lotto products is volatile, depending on the number and size of Powerball jackpots)</w:t>
      </w:r>
      <w:r w:rsidR="003608D7">
        <w:t>.</w:t>
      </w:r>
    </w:p>
    <w:p w:rsidR="0088150A" w:rsidRDefault="0088150A" w:rsidP="003608D7">
      <w:pPr>
        <w:pStyle w:val="Bullet"/>
      </w:pPr>
      <w:r>
        <w:t>In contrast, annual expenditure on casinos and NZRB products remains fairly steady; both experienced small reductions in 2016/17.</w:t>
      </w:r>
    </w:p>
    <w:p w:rsidR="0088150A" w:rsidRDefault="0088150A" w:rsidP="003608D7"/>
    <w:p w:rsidR="00A10EC0" w:rsidRDefault="0088150A" w:rsidP="003608D7">
      <w:r>
        <w:t>Figure 1 below shows the average per-capita gambling expenditure for each of the four main forms of gambling. Note that actual expenditure levels are higher than the figure suggests, since the levels in the figure apply to all people in New Zealand, including the 30 percent of the population who report that they do not gamble.</w:t>
      </w:r>
    </w:p>
    <w:p w:rsidR="0088150A" w:rsidRDefault="0088150A" w:rsidP="003608D7"/>
    <w:p w:rsidR="00A10EC0" w:rsidRDefault="0088150A" w:rsidP="003608D7">
      <w:r>
        <w:t xml:space="preserve">While gambling expenditure trends show an increase in real terms across all four gambling sectors, adjusting for inflation </w:t>
      </w:r>
      <w:r w:rsidRPr="00495F2B">
        <w:t xml:space="preserve">by type of gambling </w:t>
      </w:r>
      <w:r>
        <w:t>shows that spending levels have remained r</w:t>
      </w:r>
      <w:r w:rsidRPr="00495F2B">
        <w:t xml:space="preserve">elatively unchanged </w:t>
      </w:r>
      <w:r>
        <w:t xml:space="preserve">in </w:t>
      </w:r>
      <w:r w:rsidRPr="00495F2B">
        <w:t xml:space="preserve">recent years, </w:t>
      </w:r>
      <w:r>
        <w:t xml:space="preserve">except for the </w:t>
      </w:r>
      <w:r w:rsidRPr="00495F2B">
        <w:t>most recent period</w:t>
      </w:r>
      <w:r>
        <w:t>,</w:t>
      </w:r>
      <w:r w:rsidRPr="00495F2B">
        <w:t xml:space="preserve"> </w:t>
      </w:r>
      <w:r>
        <w:t xml:space="preserve">in which inflation-adjusted spending on NZLC products </w:t>
      </w:r>
      <w:r w:rsidRPr="00495F2B">
        <w:t xml:space="preserve">increased and </w:t>
      </w:r>
      <w:r>
        <w:t xml:space="preserve">on </w:t>
      </w:r>
      <w:r w:rsidRPr="00495F2B">
        <w:t>NCGM</w:t>
      </w:r>
      <w:r>
        <w:t>s</w:t>
      </w:r>
      <w:r w:rsidRPr="00495F2B">
        <w:t xml:space="preserve"> decreased</w:t>
      </w:r>
      <w:r>
        <w:t>.</w:t>
      </w:r>
      <w:r w:rsidRPr="003608D7">
        <w:rPr>
          <w:rStyle w:val="FootnoteReference"/>
        </w:rPr>
        <w:footnoteReference w:id="2"/>
      </w:r>
    </w:p>
    <w:p w:rsidR="0088150A" w:rsidRDefault="0088150A" w:rsidP="003608D7"/>
    <w:p w:rsidR="0088150A" w:rsidRDefault="0088150A" w:rsidP="003608D7">
      <w:r w:rsidRPr="008C498B">
        <w:t xml:space="preserve">Most casino gambling expenditure </w:t>
      </w:r>
      <w:r>
        <w:t xml:space="preserve">also </w:t>
      </w:r>
      <w:r w:rsidRPr="008C498B">
        <w:t xml:space="preserve">derives from gaming machines. Comparing the gambling participation </w:t>
      </w:r>
      <w:r>
        <w:t xml:space="preserve">and </w:t>
      </w:r>
      <w:r w:rsidRPr="008C498B">
        <w:t xml:space="preserve">expenditure information </w:t>
      </w:r>
      <w:r>
        <w:t xml:space="preserve">confirms that </w:t>
      </w:r>
      <w:r w:rsidRPr="008C498B">
        <w:t xml:space="preserve">most of the money spent on gambling in New Zealand comes from </w:t>
      </w:r>
      <w:r>
        <w:t>the</w:t>
      </w:r>
      <w:r w:rsidRPr="008C498B">
        <w:t xml:space="preserve"> relatively limited number of people who play non-casino or casino gaming machines, or both</w:t>
      </w:r>
      <w:r>
        <w:t>. T</w:t>
      </w:r>
      <w:r w:rsidRPr="008C498B">
        <w:t>his has been the case for more than a decade.</w:t>
      </w:r>
      <w:r w:rsidR="005E4DC3" w:rsidRPr="005E4DC3">
        <w:t xml:space="preserve"> </w:t>
      </w:r>
    </w:p>
    <w:p w:rsidR="00A10EC0" w:rsidRDefault="0088150A" w:rsidP="005A26D2">
      <w:pPr>
        <w:pStyle w:val="Figure"/>
      </w:pPr>
      <w:bookmarkStart w:id="12" w:name="_Toc4156643"/>
      <w:bookmarkStart w:id="13" w:name="_Toc7680397"/>
      <w:r w:rsidRPr="005B5ECD">
        <w:t>Figure</w:t>
      </w:r>
      <w:r w:rsidR="005A26D2">
        <w:t xml:space="preserve"> </w:t>
      </w:r>
      <w:r w:rsidR="00762F08">
        <w:rPr>
          <w:noProof/>
        </w:rPr>
        <w:fldChar w:fldCharType="begin"/>
      </w:r>
      <w:r w:rsidR="00762F08">
        <w:rPr>
          <w:noProof/>
        </w:rPr>
        <w:instrText xml:space="preserve"> SEQ Figure \* ARABIC </w:instrText>
      </w:r>
      <w:r w:rsidR="00762F08">
        <w:rPr>
          <w:noProof/>
        </w:rPr>
        <w:fldChar w:fldCharType="separate"/>
      </w:r>
      <w:r w:rsidR="0002049A">
        <w:rPr>
          <w:noProof/>
        </w:rPr>
        <w:t>1</w:t>
      </w:r>
      <w:r w:rsidR="00762F08">
        <w:rPr>
          <w:noProof/>
        </w:rPr>
        <w:fldChar w:fldCharType="end"/>
      </w:r>
      <w:r w:rsidRPr="005B5ECD">
        <w:t>: Inflation (</w:t>
      </w:r>
      <w:r w:rsidR="00CC43B1" w:rsidRPr="005B5ECD">
        <w:t>201</w:t>
      </w:r>
      <w:r w:rsidR="00CC43B1">
        <w:t>8</w:t>
      </w:r>
      <w:r w:rsidRPr="005B5ECD">
        <w:t>)</w:t>
      </w:r>
      <w:r>
        <w:t>-</w:t>
      </w:r>
      <w:r w:rsidRPr="005B5ECD">
        <w:t>adjusted expenditure per capita (</w:t>
      </w:r>
      <w:r>
        <w:t xml:space="preserve">adults aged </w:t>
      </w:r>
      <w:r w:rsidRPr="005B5ECD">
        <w:t>over 18 years)</w:t>
      </w:r>
      <w:r>
        <w:t>,</w:t>
      </w:r>
      <w:r w:rsidRPr="005B5ECD">
        <w:t xml:space="preserve"> by type of gambling</w:t>
      </w:r>
      <w:r>
        <w:t>, 2009/10–</w:t>
      </w:r>
      <w:r w:rsidR="00CC43B1">
        <w:t>2017</w:t>
      </w:r>
      <w:r>
        <w:t>/1</w:t>
      </w:r>
      <w:r w:rsidR="00CC43B1">
        <w:t>8</w:t>
      </w:r>
      <w:bookmarkEnd w:id="12"/>
      <w:bookmarkEnd w:id="13"/>
    </w:p>
    <w:p w:rsidR="0088150A" w:rsidRDefault="0088150A" w:rsidP="003608D7"/>
    <w:p w:rsidR="0088150A" w:rsidRDefault="00CC43B1" w:rsidP="003608D7">
      <w:r>
        <w:rPr>
          <w:noProof/>
          <w:lang w:eastAsia="en-NZ"/>
        </w:rPr>
        <w:drawing>
          <wp:inline distT="0" distB="0" distL="0" distR="0" wp14:anchorId="2266DB5D" wp14:editId="6D732FFE">
            <wp:extent cx="5378400" cy="2880000"/>
            <wp:effectExtent l="0" t="0" r="0" b="0"/>
            <wp:docPr id="9" name="Picture 9" descr="Graph showing the amount spent on different types of gam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8400" cy="2880000"/>
                    </a:xfrm>
                    <a:prstGeom prst="rect">
                      <a:avLst/>
                    </a:prstGeom>
                    <a:noFill/>
                  </pic:spPr>
                </pic:pic>
              </a:graphicData>
            </a:graphic>
          </wp:inline>
        </w:drawing>
      </w:r>
    </w:p>
    <w:p w:rsidR="0088150A" w:rsidRDefault="0088150A" w:rsidP="00E93A4A">
      <w:pPr>
        <w:pStyle w:val="Heading2"/>
      </w:pPr>
      <w:bookmarkStart w:id="14" w:name="_Toc9239589"/>
      <w:r w:rsidRPr="000D164E">
        <w:lastRenderedPageBreak/>
        <w:t>The nature of gambling harm</w:t>
      </w:r>
      <w:bookmarkEnd w:id="14"/>
    </w:p>
    <w:p w:rsidR="00A10EC0" w:rsidRPr="00A10EC0" w:rsidRDefault="0088150A" w:rsidP="003608D7">
      <w:pPr>
        <w:rPr>
          <w:rFonts w:eastAsiaTheme="minorEastAsia"/>
          <w:lang w:eastAsia="en-NZ"/>
        </w:rPr>
      </w:pPr>
      <w:r w:rsidRPr="00A10EC0">
        <w:rPr>
          <w:rFonts w:eastAsiaTheme="minorEastAsia"/>
          <w:lang w:eastAsia="en-NZ"/>
        </w:rPr>
        <w:t>While most New Zealanders gamble without experiencing any apparent harm, a significant minority do experience harm from their gambling, including negative impacts on their own lives and the lives of others.</w:t>
      </w:r>
    </w:p>
    <w:p w:rsidR="00350632" w:rsidRDefault="0088150A" w:rsidP="0037495A">
      <w:pPr>
        <w:spacing w:before="120"/>
      </w:pPr>
      <w:r>
        <w:t>H</w:t>
      </w:r>
      <w:r w:rsidRPr="006848B0">
        <w:t xml:space="preserve">arm </w:t>
      </w:r>
      <w:r>
        <w:t xml:space="preserve">may include </w:t>
      </w:r>
      <w:r w:rsidRPr="006848B0">
        <w:t>damage to relationships, emotional and psychological distress, disruptions to work or study</w:t>
      </w:r>
      <w:r>
        <w:t xml:space="preserve">, loss of income, </w:t>
      </w:r>
      <w:r w:rsidRPr="006848B0">
        <w:t>the financial impacts of gambling</w:t>
      </w:r>
      <w:r>
        <w:t>, and potentially fraud and related crimes, which can also impact negatively on the gambler</w:t>
      </w:r>
      <w:r w:rsidR="00A10EC0">
        <w:t>’</w:t>
      </w:r>
      <w:r>
        <w:t>s family</w:t>
      </w:r>
      <w:r w:rsidR="00281081">
        <w:t xml:space="preserve">, </w:t>
      </w:r>
      <w:r>
        <w:t>whānau and community</w:t>
      </w:r>
      <w:r w:rsidRPr="006848B0">
        <w:t>.</w:t>
      </w:r>
      <w:r w:rsidR="00350632" w:rsidRPr="00350632">
        <w:t xml:space="preserve"> </w:t>
      </w:r>
      <w:r w:rsidR="00350632">
        <w:t xml:space="preserve">It may also cause </w:t>
      </w:r>
      <w:r w:rsidR="00350632" w:rsidRPr="006842DB">
        <w:t xml:space="preserve">financial stress and anxiety </w:t>
      </w:r>
      <w:r w:rsidR="00350632">
        <w:t>and contribut</w:t>
      </w:r>
      <w:r w:rsidR="007131F6">
        <w:t>e</w:t>
      </w:r>
      <w:r w:rsidR="00350632">
        <w:t xml:space="preserve"> to child neglect and </w:t>
      </w:r>
      <w:r w:rsidR="00350632" w:rsidRPr="006842DB">
        <w:t>family violence</w:t>
      </w:r>
      <w:r w:rsidR="00CF2F9C">
        <w:t xml:space="preserve"> (Government Inquiry into Mental Health and Addiction 2018)</w:t>
      </w:r>
      <w:r w:rsidR="00350632" w:rsidRPr="006842DB">
        <w:t>.</w:t>
      </w:r>
    </w:p>
    <w:p w:rsidR="0088150A" w:rsidRPr="004A6E53" w:rsidRDefault="0088150A" w:rsidP="003608D7">
      <w:pPr>
        <w:pStyle w:val="Heading4"/>
      </w:pPr>
      <w:r w:rsidRPr="004A6E53">
        <w:t>Measurement of gambling harm</w:t>
      </w:r>
    </w:p>
    <w:p w:rsidR="00A10EC0" w:rsidRDefault="0088150A" w:rsidP="003608D7">
      <w:pPr>
        <w:keepNext/>
      </w:pPr>
      <w:r>
        <w:t>We can measure gambling harm by various means.</w:t>
      </w:r>
    </w:p>
    <w:p w:rsidR="0088150A" w:rsidRDefault="0088150A" w:rsidP="003608D7">
      <w:r w:rsidRPr="00C10A99">
        <w:t xml:space="preserve">The </w:t>
      </w:r>
      <w:r w:rsidRPr="00006402">
        <w:t>Problem Gambling</w:t>
      </w:r>
      <w:r>
        <w:t xml:space="preserve"> Severity Index (</w:t>
      </w:r>
      <w:r w:rsidRPr="00C10A99">
        <w:t>PGSI</w:t>
      </w:r>
      <w:r>
        <w:t>)</w:t>
      </w:r>
      <w:r w:rsidRPr="00C10A99">
        <w:t xml:space="preserve"> differentiates between different types of harm and frequency of harm occurring</w:t>
      </w:r>
      <w:r>
        <w:t>,</w:t>
      </w:r>
      <w:r w:rsidRPr="00C10A99">
        <w:t xml:space="preserve"> as reported by survey respondent</w:t>
      </w:r>
      <w:r>
        <w:t>s. The PGSI is commonly used to screen and categorise three levels of harm: severe or high risk (problem gambling), moderate risk and low risk</w:t>
      </w:r>
      <w:r w:rsidRPr="00C10A99">
        <w:t>.</w:t>
      </w:r>
      <w:r>
        <w:t xml:space="preserve"> W</w:t>
      </w:r>
      <w:r w:rsidRPr="00E8259A">
        <w:t xml:space="preserve">hile the proportion of the </w:t>
      </w:r>
      <w:r>
        <w:t xml:space="preserve">New Zealand </w:t>
      </w:r>
      <w:r w:rsidRPr="00E8259A">
        <w:t xml:space="preserve">population at risk of gambling harm as measured by the PGSI is </w:t>
      </w:r>
      <w:r>
        <w:t xml:space="preserve">currently </w:t>
      </w:r>
      <w:r w:rsidRPr="00E8259A">
        <w:t>at the lowest level seen for 25 years, the level of harm in the overall population has remained relatively stable for the last five to seven years (at about 5%) (Abbott et al 2018; Thimasarn-Anwar et al 2017). This plateau effect has also been observed overseas (Abbott 2017).</w:t>
      </w:r>
    </w:p>
    <w:p w:rsidR="0088150A" w:rsidRDefault="0088150A" w:rsidP="003608D7"/>
    <w:p w:rsidR="00A10EC0" w:rsidRPr="003608D7" w:rsidRDefault="0088150A" w:rsidP="003608D7">
      <w:r>
        <w:t>Another measure of gambling harm is the burden of harm impact on health-related quality of life. Research shows that the</w:t>
      </w:r>
      <w:r w:rsidRPr="00495F2B">
        <w:t xml:space="preserve"> total burden of harms gamblers</w:t>
      </w:r>
      <w:r>
        <w:t xml:space="preserve"> experience,</w:t>
      </w:r>
      <w:r w:rsidRPr="00495F2B">
        <w:t xml:space="preserve"> </w:t>
      </w:r>
      <w:r w:rsidRPr="00A60DFF">
        <w:t>in terms of the decrease to health</w:t>
      </w:r>
      <w:r>
        <w:t>-</w:t>
      </w:r>
      <w:r w:rsidRPr="00A60DFF">
        <w:t>related quality of life years</w:t>
      </w:r>
      <w:r>
        <w:t xml:space="preserve">, </w:t>
      </w:r>
      <w:r w:rsidRPr="00495F2B">
        <w:t xml:space="preserve">is greater than </w:t>
      </w:r>
      <w:r>
        <w:t xml:space="preserve">that people with </w:t>
      </w:r>
      <w:r w:rsidRPr="00495F2B">
        <w:t xml:space="preserve">common health conditions (such as diabetes and arthritis) </w:t>
      </w:r>
      <w:r>
        <w:t xml:space="preserve">experience, </w:t>
      </w:r>
      <w:r w:rsidRPr="00495F2B">
        <w:t>and approaches the level</w:t>
      </w:r>
      <w:r>
        <w:t xml:space="preserve">s seen with </w:t>
      </w:r>
      <w:r w:rsidRPr="00495F2B">
        <w:t xml:space="preserve">anxiety and depressive disorders. </w:t>
      </w:r>
      <w:r>
        <w:t>Importantly, the harm attributable to gamblers partaking in low-risk gambling was significant, at nearly 50 percent of all</w:t>
      </w:r>
      <w:r w:rsidRPr="00A60DFF">
        <w:t xml:space="preserve"> </w:t>
      </w:r>
      <w:r>
        <w:t xml:space="preserve">gambling </w:t>
      </w:r>
      <w:r w:rsidRPr="00A60DFF">
        <w:t>harm.</w:t>
      </w:r>
      <w:r w:rsidRPr="003608D7">
        <w:rPr>
          <w:rStyle w:val="FootnoteReference"/>
        </w:rPr>
        <w:footnoteReference w:id="3"/>
      </w:r>
      <w:r>
        <w:t xml:space="preserve"> </w:t>
      </w:r>
      <w:r w:rsidRPr="00E312E8">
        <w:t xml:space="preserve">Recent research </w:t>
      </w:r>
      <w:r>
        <w:t>shows that one</w:t>
      </w:r>
      <w:r w:rsidRPr="00E312E8">
        <w:t xml:space="preserve"> in </w:t>
      </w:r>
      <w:r>
        <w:t>five</w:t>
      </w:r>
      <w:r w:rsidRPr="00E312E8">
        <w:t xml:space="preserve"> New Zealand adults (22%) </w:t>
      </w:r>
      <w:r>
        <w:t xml:space="preserve">is </w:t>
      </w:r>
      <w:r w:rsidRPr="00E312E8">
        <w:t xml:space="preserve">affected some </w:t>
      </w:r>
      <w:r>
        <w:t xml:space="preserve">at </w:t>
      </w:r>
      <w:r w:rsidRPr="00E312E8">
        <w:t xml:space="preserve">time in their lives by their own gambling or the gambling of others. Estimates suggest </w:t>
      </w:r>
      <w:r>
        <w:t>that, in New Zealand in 2017, 37,</w:t>
      </w:r>
      <w:r w:rsidRPr="00E312E8">
        <w:t xml:space="preserve">000 </w:t>
      </w:r>
      <w:r>
        <w:t>people</w:t>
      </w:r>
      <w:r w:rsidRPr="00E312E8">
        <w:t xml:space="preserve"> aged 1</w:t>
      </w:r>
      <w:r>
        <w:t>5 </w:t>
      </w:r>
      <w:r w:rsidRPr="00E312E8">
        <w:t xml:space="preserve">years or older </w:t>
      </w:r>
      <w:r>
        <w:t>were</w:t>
      </w:r>
      <w:r w:rsidRPr="00E312E8">
        <w:t xml:space="preserve"> a</w:t>
      </w:r>
      <w:r>
        <w:t>t</w:t>
      </w:r>
      <w:r w:rsidRPr="00E312E8">
        <w:t xml:space="preserve"> high risk of harm </w:t>
      </w:r>
      <w:r>
        <w:t xml:space="preserve">from gambling </w:t>
      </w:r>
      <w:r w:rsidRPr="00E312E8">
        <w:t xml:space="preserve">or </w:t>
      </w:r>
      <w:r>
        <w:t xml:space="preserve">are </w:t>
      </w:r>
      <w:r w:rsidR="00A10EC0">
        <w:t>‘</w:t>
      </w:r>
      <w:r w:rsidRPr="00E312E8">
        <w:t>problem gamblers</w:t>
      </w:r>
      <w:r w:rsidR="00A10EC0">
        <w:t>’</w:t>
      </w:r>
      <w:r w:rsidRPr="00E312E8">
        <w:t xml:space="preserve">, about </w:t>
      </w:r>
      <w:r>
        <w:t>47</w:t>
      </w:r>
      <w:r w:rsidRPr="00E312E8">
        <w:t>,000 were at moderate</w:t>
      </w:r>
      <w:r w:rsidR="004A6BC1">
        <w:t xml:space="preserve"> </w:t>
      </w:r>
      <w:r w:rsidRPr="00C10A99">
        <w:t>risk and a further 1</w:t>
      </w:r>
      <w:r>
        <w:t>06</w:t>
      </w:r>
      <w:r w:rsidRPr="00C10A99">
        <w:t>,000 were at low risk but would experience gambling</w:t>
      </w:r>
      <w:r>
        <w:t>-</w:t>
      </w:r>
      <w:r w:rsidRPr="00C10A99">
        <w:t>related harm during their lifetime.</w:t>
      </w:r>
      <w:r w:rsidRPr="003608D7">
        <w:rPr>
          <w:rStyle w:val="FootnoteReference"/>
        </w:rPr>
        <w:footnoteReference w:id="4"/>
      </w:r>
    </w:p>
    <w:p w:rsidR="0088150A" w:rsidRPr="002C27AB" w:rsidRDefault="0088150A" w:rsidP="003608D7">
      <w:pPr>
        <w:pStyle w:val="Heading4"/>
      </w:pPr>
      <w:r w:rsidRPr="000D164E">
        <w:t>Forms of gambling associated with gambling harm</w:t>
      </w:r>
    </w:p>
    <w:p w:rsidR="00A10EC0" w:rsidRDefault="0088150A" w:rsidP="003608D7">
      <w:r w:rsidRPr="00A10EC0">
        <w:rPr>
          <w:rFonts w:eastAsiaTheme="minorEastAsia" w:cs="Segoe UI"/>
          <w:kern w:val="24"/>
          <w:lang w:eastAsia="en-NZ"/>
        </w:rPr>
        <w:t xml:space="preserve">Some features and/or modes of gambling are particularly associated with harm. </w:t>
      </w:r>
      <w:r w:rsidRPr="000D164E">
        <w:t>Research both internationally and in New Zealand clearly shows that gambling harm is far more likely to be associated with continuous forms of gambling</w:t>
      </w:r>
      <w:r>
        <w:t xml:space="preserve"> </w:t>
      </w:r>
      <w:r w:rsidRPr="00A10EC0">
        <w:rPr>
          <w:rFonts w:eastAsiaTheme="minorEastAsia" w:cs="Segoe UI"/>
          <w:kern w:val="24"/>
          <w:lang w:eastAsia="en-NZ"/>
        </w:rPr>
        <w:t xml:space="preserve">(in which a gambler can immediately </w:t>
      </w:r>
      <w:r w:rsidR="00A10EC0" w:rsidRPr="00A10EC0">
        <w:rPr>
          <w:rFonts w:eastAsiaTheme="minorEastAsia" w:cs="Segoe UI"/>
          <w:kern w:val="24"/>
          <w:lang w:eastAsia="en-NZ"/>
        </w:rPr>
        <w:t>‘</w:t>
      </w:r>
      <w:r w:rsidRPr="00A10EC0">
        <w:rPr>
          <w:rFonts w:eastAsiaTheme="minorEastAsia" w:cs="Segoe UI"/>
          <w:kern w:val="24"/>
          <w:lang w:eastAsia="en-NZ"/>
        </w:rPr>
        <w:t>reinvest</w:t>
      </w:r>
      <w:r w:rsidR="00A10EC0" w:rsidRPr="00A10EC0">
        <w:rPr>
          <w:rFonts w:eastAsiaTheme="minorEastAsia" w:cs="Segoe UI"/>
          <w:kern w:val="24"/>
          <w:lang w:eastAsia="en-NZ"/>
        </w:rPr>
        <w:t>’</w:t>
      </w:r>
      <w:r w:rsidRPr="00A10EC0">
        <w:rPr>
          <w:rFonts w:eastAsiaTheme="minorEastAsia" w:cs="Segoe UI"/>
          <w:kern w:val="24"/>
          <w:lang w:eastAsia="en-NZ"/>
        </w:rPr>
        <w:t xml:space="preserve"> winnings in further gambling, such as NCGMs and casino table games)</w:t>
      </w:r>
      <w:r w:rsidRPr="000D164E">
        <w:t xml:space="preserve"> than with any other mode of gambling. Online gambling and gaming </w:t>
      </w:r>
      <w:r w:rsidRPr="000D164E">
        <w:lastRenderedPageBreak/>
        <w:t xml:space="preserve">convergence products </w:t>
      </w:r>
      <w:r>
        <w:t xml:space="preserve">usually allow a gambler the </w:t>
      </w:r>
      <w:r w:rsidRPr="000D164E">
        <w:t>ability to play continuously, and therefore present higher risks of forming harmful gambling behaviours.</w:t>
      </w:r>
    </w:p>
    <w:p w:rsidR="003608D7" w:rsidRDefault="003608D7" w:rsidP="003608D7"/>
    <w:p w:rsidR="00A10EC0" w:rsidRDefault="0088150A" w:rsidP="003608D7">
      <w:r>
        <w:t>Gambling provided th</w:t>
      </w:r>
      <w:r w:rsidR="004A6BC1">
        <w:t>r</w:t>
      </w:r>
      <w:r>
        <w:t>ough t</w:t>
      </w:r>
      <w:r w:rsidRPr="000D164E">
        <w:t>he four gambling sectors levied pose the greatest risk</w:t>
      </w:r>
      <w:r>
        <w:t>s</w:t>
      </w:r>
      <w:r w:rsidRPr="000D164E">
        <w:t xml:space="preserve"> of gambling harm</w:t>
      </w:r>
      <w:r>
        <w:t xml:space="preserve"> in New Zealand. T</w:t>
      </w:r>
      <w:r w:rsidRPr="000D164E">
        <w:t xml:space="preserve">he most harmful form of gambling in New Zealand </w:t>
      </w:r>
      <w:r>
        <w:t xml:space="preserve">is </w:t>
      </w:r>
      <w:r w:rsidRPr="000D164E">
        <w:t>NCGM</w:t>
      </w:r>
      <w:r>
        <w:t>s</w:t>
      </w:r>
      <w:r w:rsidRPr="000D164E">
        <w:t xml:space="preserve"> at pubs/clubs (defined in the Act as </w:t>
      </w:r>
      <w:r>
        <w:t>c</w:t>
      </w:r>
      <w:r w:rsidRPr="000D164E">
        <w:t>lass 4)</w:t>
      </w:r>
      <w:r>
        <w:t xml:space="preserve">; this has </w:t>
      </w:r>
      <w:r w:rsidRPr="000D164E">
        <w:t xml:space="preserve">been </w:t>
      </w:r>
      <w:r>
        <w:t xml:space="preserve">the case </w:t>
      </w:r>
      <w:r w:rsidRPr="000D164E">
        <w:t>for many years.</w:t>
      </w:r>
    </w:p>
    <w:p w:rsidR="003608D7" w:rsidRDefault="003608D7" w:rsidP="003608D7"/>
    <w:p w:rsidR="00A10EC0" w:rsidRPr="003608D7" w:rsidRDefault="0088150A" w:rsidP="003608D7">
      <w:pPr>
        <w:keepLines/>
      </w:pPr>
      <w:r w:rsidRPr="000D164E">
        <w:t xml:space="preserve">Most money spent on gambling in New Zealand comes from the relatively limited number of people who play </w:t>
      </w:r>
      <w:r>
        <w:t>NCGMs,</w:t>
      </w:r>
      <w:r w:rsidRPr="000D164E">
        <w:t xml:space="preserve"> and most clients accessing problem gambling intervention services cite pub/club pokies as a primary problem gambling mode. The National Gambling Study (NGS) 2014 found that at-risk and problem gamblers accounted for over half of total (estimated) </w:t>
      </w:r>
      <w:r>
        <w:t>electronic gaming machine (</w:t>
      </w:r>
      <w:r w:rsidRPr="000D164E">
        <w:t>EGM</w:t>
      </w:r>
      <w:r>
        <w:t>)</w:t>
      </w:r>
      <w:r w:rsidRPr="000D164E">
        <w:t xml:space="preserve"> expenditure in 2015 (moderate-risk and problem gamblers 28%; low-risk gamblers 24%). Similarly</w:t>
      </w:r>
      <w:r>
        <w:t>,</w:t>
      </w:r>
      <w:r w:rsidRPr="000D164E">
        <w:t xml:space="preserve"> </w:t>
      </w:r>
      <w:r>
        <w:t xml:space="preserve">the </w:t>
      </w:r>
      <w:r w:rsidRPr="000D164E">
        <w:t xml:space="preserve">HLS 2016 found that almost half (49%; 37, 61%) of people who played </w:t>
      </w:r>
      <w:r>
        <w:t>NCGMs</w:t>
      </w:r>
      <w:r w:rsidRPr="000D164E">
        <w:t xml:space="preserve"> in pubs or clubs at least once a month had at least some level of gambling harm.</w:t>
      </w:r>
    </w:p>
    <w:p w:rsidR="0088150A" w:rsidRDefault="0088150A" w:rsidP="003608D7">
      <w:pPr>
        <w:pStyle w:val="Heading4"/>
      </w:pPr>
      <w:r>
        <w:t>Groups vulnerable to gambling harm</w:t>
      </w:r>
    </w:p>
    <w:p w:rsidR="00A10EC0" w:rsidRDefault="0088150A" w:rsidP="003608D7">
      <w:r w:rsidRPr="007C5474">
        <w:t xml:space="preserve">Research shows that </w:t>
      </w:r>
      <w:r>
        <w:t>Māori</w:t>
      </w:r>
      <w:r w:rsidRPr="007C5474">
        <w:t xml:space="preserve"> and Pacific peoples, some Asian communities and people on lower incomes</w:t>
      </w:r>
      <w:r>
        <w:t xml:space="preserve"> disproportionately experience gambling harm</w:t>
      </w:r>
      <w:r w:rsidRPr="007C5474">
        <w:t>.</w:t>
      </w:r>
    </w:p>
    <w:p w:rsidR="0088150A" w:rsidRDefault="0088150A" w:rsidP="003608D7"/>
    <w:p w:rsidR="00A10EC0" w:rsidRDefault="0088150A" w:rsidP="003608D7">
      <w:r>
        <w:t>T</w:t>
      </w:r>
      <w:r w:rsidRPr="00776E59">
        <w:t xml:space="preserve">he HLS </w:t>
      </w:r>
      <w:r>
        <w:t xml:space="preserve">2016 </w:t>
      </w:r>
      <w:r w:rsidRPr="00776E59">
        <w:t xml:space="preserve">found that gambling harm is experienced disproportionately by those </w:t>
      </w:r>
      <w:r>
        <w:t xml:space="preserve">living in areas with a high social deprivation index score (8/10 or higher) , </w:t>
      </w:r>
      <w:r w:rsidRPr="00776E59">
        <w:t>who were 4.5</w:t>
      </w:r>
      <w:r w:rsidR="003608D7">
        <w:t> </w:t>
      </w:r>
      <w:r w:rsidRPr="00776E59">
        <w:t>times as likely to experience gambling-related arguments or money problems</w:t>
      </w:r>
      <w:r>
        <w:t xml:space="preserve"> related to gambling</w:t>
      </w:r>
      <w:r w:rsidRPr="00776E59">
        <w:t>.</w:t>
      </w:r>
    </w:p>
    <w:p w:rsidR="0088150A" w:rsidRDefault="0088150A" w:rsidP="003608D7"/>
    <w:p w:rsidR="00A10EC0" w:rsidRDefault="0088150A" w:rsidP="003608D7">
      <w:r>
        <w:t xml:space="preserve">The study found that Māori </w:t>
      </w:r>
      <w:r w:rsidRPr="0026365E">
        <w:t xml:space="preserve">and Pacific adults were more likely to develop problems </w:t>
      </w:r>
      <w:r>
        <w:t xml:space="preserve">from gambling </w:t>
      </w:r>
      <w:r w:rsidRPr="0026365E">
        <w:t>(</w:t>
      </w:r>
      <w:r>
        <w:t xml:space="preserve">ie, to become a </w:t>
      </w:r>
      <w:r w:rsidRPr="0026365E">
        <w:t xml:space="preserve">low-risk, moderate-risk </w:t>
      </w:r>
      <w:r>
        <w:t xml:space="preserve">or </w:t>
      </w:r>
      <w:r w:rsidRPr="0026365E">
        <w:t>problem gambler) than European/</w:t>
      </w:r>
      <w:r>
        <w:t>o</w:t>
      </w:r>
      <w:r w:rsidRPr="0026365E">
        <w:t xml:space="preserve">ther New Zealanders. Asian people also </w:t>
      </w:r>
      <w:r>
        <w:t xml:space="preserve">experienced a </w:t>
      </w:r>
      <w:r w:rsidRPr="0026365E">
        <w:t>slightly higher risk</w:t>
      </w:r>
      <w:r w:rsidRPr="0004434B">
        <w:t>. Importantly, while inequalities between population groups by age, social deprivation, gender and ethnicity have reduced in absolute terms, in relative terms, disparities in exposure to gambling and experience of gambling</w:t>
      </w:r>
      <w:r>
        <w:t>-</w:t>
      </w:r>
      <w:r w:rsidRPr="0004434B">
        <w:t>related harm persist</w:t>
      </w:r>
      <w:r>
        <w:t>,</w:t>
      </w:r>
      <w:r w:rsidRPr="0004434B">
        <w:t xml:space="preserve"> and have been relatively static over the past five years.</w:t>
      </w:r>
    </w:p>
    <w:p w:rsidR="0088150A" w:rsidRDefault="0088150A" w:rsidP="003608D7"/>
    <w:p w:rsidR="0088150A" w:rsidRPr="00715B03" w:rsidRDefault="0088150A" w:rsidP="003608D7">
      <w:r w:rsidRPr="00715B03">
        <w:t>M</w:t>
      </w:r>
      <w:r>
        <w:rPr>
          <w:rFonts w:cs="Times"/>
          <w:szCs w:val="22"/>
        </w:rPr>
        <w:t>ā</w:t>
      </w:r>
      <w:r w:rsidRPr="00715B03">
        <w:t xml:space="preserve">ori, Pacific </w:t>
      </w:r>
      <w:r>
        <w:t xml:space="preserve">peoples and </w:t>
      </w:r>
      <w:r w:rsidRPr="00715B03">
        <w:t xml:space="preserve">Asian </w:t>
      </w:r>
      <w:r>
        <w:t xml:space="preserve">peoples </w:t>
      </w:r>
      <w:r w:rsidRPr="00715B03">
        <w:t>are each more than twice as likely to experience moderate to severe gambling harm than the</w:t>
      </w:r>
      <w:r>
        <w:t xml:space="preserve"> </w:t>
      </w:r>
      <w:r w:rsidRPr="00715B03">
        <w:t>European/</w:t>
      </w:r>
      <w:r>
        <w:t>o</w:t>
      </w:r>
      <w:r w:rsidRPr="00715B03">
        <w:t>ther</w:t>
      </w:r>
      <w:r>
        <w:t xml:space="preserve"> </w:t>
      </w:r>
      <w:r w:rsidRPr="00715B03">
        <w:t>population</w:t>
      </w:r>
      <w:r>
        <w:t>.</w:t>
      </w:r>
    </w:p>
    <w:p w:rsidR="00A10EC0" w:rsidRDefault="0088150A" w:rsidP="003608D7">
      <w:pPr>
        <w:pStyle w:val="Heading4"/>
      </w:pPr>
      <w:r>
        <w:t>Women</w:t>
      </w:r>
      <w:r w:rsidRPr="00A13767">
        <w:t xml:space="preserve"> and </w:t>
      </w:r>
      <w:r>
        <w:t>children</w:t>
      </w:r>
    </w:p>
    <w:p w:rsidR="0088150A" w:rsidRDefault="0088150A" w:rsidP="003608D7">
      <w:r w:rsidRPr="00B12B41">
        <w:t>Harmful gambling behaviour may impact significantly on women and children</w:t>
      </w:r>
      <w:r w:rsidR="00350632">
        <w:t>.</w:t>
      </w:r>
      <w:r w:rsidR="001E7AD2">
        <w:t xml:space="preserve"> </w:t>
      </w:r>
      <w:r w:rsidRPr="00B12B41">
        <w:t>There is a strong correlation between gambling and family</w:t>
      </w:r>
      <w:r w:rsidR="00281081">
        <w:t xml:space="preserve">, </w:t>
      </w:r>
      <w:r w:rsidRPr="00B12B41">
        <w:t>whānau or partner violence</w:t>
      </w:r>
      <w:r>
        <w:t>:</w:t>
      </w:r>
      <w:r w:rsidRPr="00B12B41">
        <w:t xml:space="preserve"> 50 percent of problem gamblers also experienc</w:t>
      </w:r>
      <w:r>
        <w:t>e</w:t>
      </w:r>
      <w:r w:rsidRPr="00B12B41">
        <w:t xml:space="preserve"> family</w:t>
      </w:r>
      <w:r w:rsidR="00281081">
        <w:t xml:space="preserve"> or </w:t>
      </w:r>
      <w:r w:rsidRPr="00B12B41">
        <w:t>whānau violence</w:t>
      </w:r>
      <w:r w:rsidR="00A02EAD">
        <w:t xml:space="preserve"> (Auckland University of Technology 2017)</w:t>
      </w:r>
      <w:r>
        <w:t>.</w:t>
      </w:r>
      <w:r w:rsidR="00350632">
        <w:t xml:space="preserve"> </w:t>
      </w:r>
      <w:r w:rsidRPr="00B12B41">
        <w:t xml:space="preserve">Women, </w:t>
      </w:r>
      <w:r>
        <w:t xml:space="preserve">who are </w:t>
      </w:r>
      <w:r w:rsidRPr="00B12B41">
        <w:t>common</w:t>
      </w:r>
      <w:r>
        <w:t>ly</w:t>
      </w:r>
      <w:r w:rsidRPr="00B12B41">
        <w:t xml:space="preserve"> </w:t>
      </w:r>
      <w:r>
        <w:t xml:space="preserve">the </w:t>
      </w:r>
      <w:r w:rsidRPr="00B12B41">
        <w:t xml:space="preserve">primary caregivers </w:t>
      </w:r>
      <w:r>
        <w:t>with</w:t>
      </w:r>
      <w:r w:rsidRPr="00B12B41">
        <w:t>in the</w:t>
      </w:r>
      <w:r>
        <w:t>ir</w:t>
      </w:r>
      <w:r w:rsidRPr="00B12B41">
        <w:t xml:space="preserve"> family</w:t>
      </w:r>
      <w:r w:rsidR="00281081">
        <w:t xml:space="preserve"> or </w:t>
      </w:r>
      <w:r w:rsidRPr="00B12B41">
        <w:t>whānau</w:t>
      </w:r>
      <w:r>
        <w:t>,</w:t>
      </w:r>
      <w:r w:rsidRPr="00B12B41">
        <w:t xml:space="preserve"> are also particularly vulnerable to the economic strain caused by problem gambling.</w:t>
      </w:r>
    </w:p>
    <w:p w:rsidR="00281081" w:rsidRPr="00B12B41" w:rsidRDefault="00281081" w:rsidP="003608D7"/>
    <w:p w:rsidR="00D32C27" w:rsidRDefault="0088150A" w:rsidP="00D32C27">
      <w:r w:rsidRPr="00B12B41">
        <w:t>The recent</w:t>
      </w:r>
      <w:r w:rsidR="00A02EAD">
        <w:t xml:space="preserve"> Auckland University of Technology</w:t>
      </w:r>
      <w:r w:rsidRPr="00B12B41">
        <w:t xml:space="preserve"> </w:t>
      </w:r>
      <w:r w:rsidR="00A02EAD">
        <w:t>(</w:t>
      </w:r>
      <w:r w:rsidRPr="00B12B41">
        <w:t>AUT</w:t>
      </w:r>
      <w:r w:rsidR="00A02EAD">
        <w:t>)</w:t>
      </w:r>
      <w:r w:rsidRPr="00B12B41">
        <w:t xml:space="preserve"> report </w:t>
      </w:r>
      <w:r w:rsidRPr="00B12B41">
        <w:rPr>
          <w:i/>
        </w:rPr>
        <w:t>Pacific Islands Families Study 2014: Mother and youth gambling</w:t>
      </w:r>
      <w:r w:rsidRPr="00B12B41">
        <w:t xml:space="preserve"> found </w:t>
      </w:r>
      <w:r>
        <w:t xml:space="preserve">that </w:t>
      </w:r>
      <w:r w:rsidRPr="00B12B41">
        <w:t xml:space="preserve">risk factors for gambling among mothers studied included alcohol consumption, being a victim of verbal abuse, and </w:t>
      </w:r>
      <w:r w:rsidRPr="00B12B41">
        <w:lastRenderedPageBreak/>
        <w:t>increased deprivation levels</w:t>
      </w:r>
      <w:r>
        <w:t xml:space="preserve"> </w:t>
      </w:r>
      <w:r w:rsidRPr="003C32A5">
        <w:t>(Bellringer et al 2016)</w:t>
      </w:r>
      <w:r w:rsidRPr="0051559D">
        <w:t>.</w:t>
      </w:r>
      <w:r w:rsidRPr="00B12B41">
        <w:t xml:space="preserve"> Pacific people</w:t>
      </w:r>
      <w:r w:rsidR="00D77546">
        <w:t>s</w:t>
      </w:r>
      <w:r w:rsidRPr="00B12B41">
        <w:t xml:space="preserve"> make up 21 percent of all people seeking treatment for gambling harm</w:t>
      </w:r>
      <w:r>
        <w:t>.</w:t>
      </w:r>
      <w:r w:rsidR="00D32C27" w:rsidRPr="00D32C27">
        <w:t xml:space="preserve"> </w:t>
      </w:r>
    </w:p>
    <w:p w:rsidR="0088150A" w:rsidRPr="00B12B41" w:rsidRDefault="0088150A" w:rsidP="003608D7"/>
    <w:p w:rsidR="00A10EC0" w:rsidRDefault="0088150A" w:rsidP="003608D7">
      <w:r w:rsidRPr="00B12B41">
        <w:t xml:space="preserve">There is evidence </w:t>
      </w:r>
      <w:r>
        <w:t xml:space="preserve">that </w:t>
      </w:r>
      <w:r w:rsidRPr="00B12B41">
        <w:t>children and young adults are exposed to considerable gambling messaging</w:t>
      </w:r>
      <w:r>
        <w:t>;</w:t>
      </w:r>
      <w:r w:rsidRPr="00B12B41">
        <w:t xml:space="preserve"> for example</w:t>
      </w:r>
      <w:r>
        <w:t>,</w:t>
      </w:r>
      <w:r w:rsidRPr="00B12B41">
        <w:t xml:space="preserve"> through advertising, which can help to normalise gambling behaviours</w:t>
      </w:r>
      <w:r w:rsidR="00E55431">
        <w:t xml:space="preserve"> (Signal et al 2017)</w:t>
      </w:r>
      <w:r w:rsidRPr="00B12B41">
        <w:t>.</w:t>
      </w:r>
    </w:p>
    <w:p w:rsidR="0088150A" w:rsidRPr="00B12B41" w:rsidRDefault="0088150A" w:rsidP="003608D7"/>
    <w:p w:rsidR="00A10EC0" w:rsidRDefault="0088150A" w:rsidP="003608D7">
      <w:r w:rsidRPr="00B12B41">
        <w:t>As noted above</w:t>
      </w:r>
      <w:r>
        <w:t xml:space="preserve">, </w:t>
      </w:r>
      <w:r w:rsidRPr="00B12B41">
        <w:t>health</w:t>
      </w:r>
      <w:r w:rsidR="00D77546">
        <w:t xml:space="preserve"> group</w:t>
      </w:r>
      <w:r w:rsidRPr="00B12B41">
        <w:t xml:space="preserve"> and service provider </w:t>
      </w:r>
      <w:r w:rsidR="00D32C27" w:rsidRPr="00B12B41">
        <w:t xml:space="preserve">submissions on the </w:t>
      </w:r>
      <w:r w:rsidR="00D32C27">
        <w:t xml:space="preserve">draft </w:t>
      </w:r>
      <w:r w:rsidR="00D32C27" w:rsidRPr="00B12B41">
        <w:t xml:space="preserve">strategy </w:t>
      </w:r>
      <w:r>
        <w:t xml:space="preserve">also raised </w:t>
      </w:r>
      <w:r w:rsidRPr="00B12B41">
        <w:t>concerns about the accessibility of online gambling</w:t>
      </w:r>
      <w:r w:rsidRPr="00332B3E">
        <w:t xml:space="preserve"> </w:t>
      </w:r>
      <w:r w:rsidRPr="00B12B41">
        <w:t>and gaming convergence</w:t>
      </w:r>
      <w:r>
        <w:t xml:space="preserve"> and the</w:t>
      </w:r>
      <w:r w:rsidR="00D32C27">
        <w:t xml:space="preserve">se </w:t>
      </w:r>
      <w:r>
        <w:t>impacts on the wellbeing of children, youth and young adults</w:t>
      </w:r>
      <w:r w:rsidRPr="00B12B41">
        <w:t>.</w:t>
      </w:r>
    </w:p>
    <w:p w:rsidR="0088150A" w:rsidRPr="00A13767" w:rsidRDefault="0088150A" w:rsidP="003608D7">
      <w:pPr>
        <w:pStyle w:val="Heading4"/>
      </w:pPr>
      <w:r w:rsidRPr="00A13767">
        <w:t>Comorbidities</w:t>
      </w:r>
    </w:p>
    <w:p w:rsidR="0088150A" w:rsidRPr="003608D7" w:rsidRDefault="0088150A" w:rsidP="003608D7">
      <w:r w:rsidRPr="00A13767">
        <w:t>Harmful gambling typically presents with other health issues</w:t>
      </w:r>
      <w:r>
        <w:t>,</w:t>
      </w:r>
      <w:r w:rsidRPr="00A13767">
        <w:t xml:space="preserve"> and has been consistently associated with </w:t>
      </w:r>
      <w:r>
        <w:t xml:space="preserve">a </w:t>
      </w:r>
      <w:r w:rsidRPr="00A13767">
        <w:t>range of co-existing health issues such as higher levels of smoking, hazardous alcohol consumption and other drug use</w:t>
      </w:r>
      <w:r>
        <w:t>,</w:t>
      </w:r>
      <w:r w:rsidRPr="00A13767">
        <w:t xml:space="preserve"> as well as higher levels of depression and poorer self-rated health. </w:t>
      </w:r>
      <w:r w:rsidRPr="00B12B41">
        <w:t xml:space="preserve">Comorbidity is an indication that </w:t>
      </w:r>
      <w:r>
        <w:t xml:space="preserve">a person may require </w:t>
      </w:r>
      <w:r w:rsidRPr="00B12B41">
        <w:t>holistic services</w:t>
      </w:r>
      <w:r w:rsidR="00E55431">
        <w:t xml:space="preserve"> (Auckland University of Technology 2017)</w:t>
      </w:r>
      <w:r>
        <w:t>.</w:t>
      </w:r>
    </w:p>
    <w:p w:rsidR="0088150A" w:rsidRPr="00E93A4A" w:rsidRDefault="0088150A" w:rsidP="00E93A4A">
      <w:pPr>
        <w:pStyle w:val="Heading2"/>
      </w:pPr>
      <w:bookmarkStart w:id="15" w:name="_Toc2161779"/>
      <w:bookmarkStart w:id="16" w:name="_Toc9239590"/>
      <w:bookmarkEnd w:id="15"/>
      <w:r w:rsidRPr="00A13767">
        <w:t>Intervention service data</w:t>
      </w:r>
      <w:bookmarkEnd w:id="16"/>
    </w:p>
    <w:p w:rsidR="0088150A" w:rsidRPr="00EC1A59" w:rsidRDefault="0088150A" w:rsidP="003608D7">
      <w:r w:rsidRPr="00E312E8">
        <w:t xml:space="preserve">Every year, some of the people </w:t>
      </w:r>
      <w:r w:rsidR="00D77546">
        <w:t xml:space="preserve">described above </w:t>
      </w:r>
      <w:r w:rsidRPr="00E312E8">
        <w:t>seek help</w:t>
      </w:r>
      <w:r w:rsidRPr="00332718">
        <w:t xml:space="preserve"> </w:t>
      </w:r>
      <w:r w:rsidRPr="00E312E8">
        <w:t xml:space="preserve">from services </w:t>
      </w:r>
      <w:r>
        <w:t xml:space="preserve">funded by the Ministry of Health (the Ministry) </w:t>
      </w:r>
      <w:r w:rsidRPr="00E312E8">
        <w:t>for problem</w:t>
      </w:r>
      <w:r w:rsidRPr="00C10A99">
        <w:t>s due to their own or someone else</w:t>
      </w:r>
      <w:r w:rsidR="00A10EC0">
        <w:t>’</w:t>
      </w:r>
      <w:r w:rsidRPr="00C10A99">
        <w:t>s gambling</w:t>
      </w:r>
      <w:r>
        <w:t>. I</w:t>
      </w:r>
      <w:r w:rsidRPr="00E312E8">
        <w:t xml:space="preserve">n </w:t>
      </w:r>
      <w:r>
        <w:t xml:space="preserve">the </w:t>
      </w:r>
      <w:r w:rsidR="007155DB" w:rsidRPr="00E312E8">
        <w:t>201</w:t>
      </w:r>
      <w:r w:rsidR="007155DB">
        <w:t>7</w:t>
      </w:r>
      <w:r w:rsidRPr="00E312E8">
        <w:t>/</w:t>
      </w:r>
      <w:r w:rsidR="007155DB" w:rsidRPr="00E312E8">
        <w:t>1</w:t>
      </w:r>
      <w:r w:rsidR="007155DB">
        <w:t xml:space="preserve">8 </w:t>
      </w:r>
      <w:r>
        <w:t>year</w:t>
      </w:r>
      <w:r w:rsidRPr="00E312E8">
        <w:t xml:space="preserve">, over </w:t>
      </w:r>
      <w:r w:rsidR="007155DB">
        <w:t>5,400</w:t>
      </w:r>
      <w:r w:rsidRPr="00E312E8">
        <w:t xml:space="preserve"> people sought help</w:t>
      </w:r>
      <w:r>
        <w:t xml:space="preserve"> </w:t>
      </w:r>
      <w:r w:rsidRPr="00E312E8">
        <w:t xml:space="preserve">from services </w:t>
      </w:r>
      <w:r>
        <w:t xml:space="preserve">funded by the Ministry of Health </w:t>
      </w:r>
      <w:r w:rsidRPr="00E312E8">
        <w:t>for problem</w:t>
      </w:r>
      <w:r w:rsidRPr="00C10A99">
        <w:t>s due to their own or someone else</w:t>
      </w:r>
      <w:r w:rsidR="00A10EC0">
        <w:t>’</w:t>
      </w:r>
      <w:r w:rsidRPr="00C10A99">
        <w:t>s gambling</w:t>
      </w:r>
      <w:r>
        <w:t>.</w:t>
      </w:r>
      <w:r w:rsidRPr="00E312E8">
        <w:t xml:space="preserve"> </w:t>
      </w:r>
      <w:r w:rsidRPr="00C10A99">
        <w:t>Most of these people were in crisis</w:t>
      </w:r>
      <w:r>
        <w:t xml:space="preserve">. </w:t>
      </w:r>
      <w:r w:rsidRPr="00C10A99">
        <w:t>If brief interventions in non-clinical settings were included</w:t>
      </w:r>
      <w:r>
        <w:t xml:space="preserve"> in the analysis</w:t>
      </w:r>
      <w:r w:rsidRPr="00C10A99">
        <w:t xml:space="preserve">, the total </w:t>
      </w:r>
      <w:r>
        <w:t xml:space="preserve">would </w:t>
      </w:r>
      <w:r w:rsidRPr="00C10A99">
        <w:t>increase to more than 11,600.</w:t>
      </w:r>
      <w:r w:rsidRPr="003608D7">
        <w:rPr>
          <w:rStyle w:val="FootnoteReference"/>
        </w:rPr>
        <w:footnoteReference w:id="5"/>
      </w:r>
    </w:p>
    <w:p w:rsidR="0088150A" w:rsidRDefault="0088150A" w:rsidP="003608D7"/>
    <w:p w:rsidR="00A10EC0" w:rsidRDefault="0088150A" w:rsidP="003608D7">
      <w:pPr>
        <w:rPr>
          <w:rFonts w:eastAsiaTheme="minorEastAsia"/>
          <w:lang w:eastAsia="en-NZ"/>
        </w:rPr>
      </w:pPr>
      <w:r w:rsidRPr="008F7687">
        <w:rPr>
          <w:rFonts w:eastAsiaTheme="minorEastAsia"/>
          <w:lang w:eastAsia="en-NZ"/>
        </w:rPr>
        <w:t>Over the last seven years</w:t>
      </w:r>
      <w:r>
        <w:rPr>
          <w:rFonts w:eastAsiaTheme="minorEastAsia"/>
          <w:lang w:eastAsia="en-NZ"/>
        </w:rPr>
        <w:t xml:space="preserve"> gambling harm intervention services have seen</w:t>
      </w:r>
      <w:r w:rsidRPr="008F7687">
        <w:rPr>
          <w:rFonts w:eastAsiaTheme="minorEastAsia"/>
          <w:lang w:eastAsia="en-NZ"/>
        </w:rPr>
        <w:t xml:space="preserve"> approximately 10,000</w:t>
      </w:r>
      <w:r>
        <w:rPr>
          <w:rFonts w:eastAsiaTheme="minorEastAsia"/>
          <w:lang w:eastAsia="en-NZ"/>
        </w:rPr>
        <w:t xml:space="preserve"> </w:t>
      </w:r>
      <w:r w:rsidRPr="008F7687">
        <w:rPr>
          <w:rFonts w:eastAsiaTheme="minorEastAsia"/>
          <w:lang w:eastAsia="en-NZ"/>
        </w:rPr>
        <w:t>clients</w:t>
      </w:r>
      <w:r w:rsidR="007155DB">
        <w:rPr>
          <w:rFonts w:eastAsiaTheme="minorEastAsia"/>
          <w:lang w:eastAsia="en-NZ"/>
        </w:rPr>
        <w:t xml:space="preserve"> per annum</w:t>
      </w:r>
      <w:r w:rsidRPr="008F7687">
        <w:rPr>
          <w:rFonts w:eastAsiaTheme="minorEastAsia"/>
          <w:lang w:eastAsia="en-NZ"/>
        </w:rPr>
        <w:t xml:space="preserve"> (including family</w:t>
      </w:r>
      <w:r w:rsidR="00281081">
        <w:rPr>
          <w:rFonts w:eastAsiaTheme="minorEastAsia"/>
          <w:lang w:eastAsia="en-NZ"/>
        </w:rPr>
        <w:t xml:space="preserve">, </w:t>
      </w:r>
      <w:r>
        <w:rPr>
          <w:rFonts w:eastAsiaTheme="minorEastAsia"/>
          <w:lang w:eastAsia="en-NZ"/>
        </w:rPr>
        <w:t>wh</w:t>
      </w:r>
      <w:r w:rsidRPr="00B12B41">
        <w:t>ā</w:t>
      </w:r>
      <w:r>
        <w:rPr>
          <w:rFonts w:eastAsiaTheme="minorEastAsia"/>
          <w:lang w:eastAsia="en-NZ"/>
        </w:rPr>
        <w:t>nau</w:t>
      </w:r>
      <w:r w:rsidRPr="008F7687">
        <w:rPr>
          <w:rFonts w:eastAsiaTheme="minorEastAsia"/>
          <w:lang w:eastAsia="en-NZ"/>
        </w:rPr>
        <w:t xml:space="preserve"> and affected others). Of these, about 4,000 </w:t>
      </w:r>
      <w:r>
        <w:rPr>
          <w:rFonts w:eastAsiaTheme="minorEastAsia"/>
          <w:lang w:eastAsia="en-NZ"/>
        </w:rPr>
        <w:t>were f</w:t>
      </w:r>
      <w:r w:rsidRPr="008F7687">
        <w:rPr>
          <w:rFonts w:eastAsiaTheme="minorEastAsia"/>
          <w:lang w:eastAsia="en-NZ"/>
        </w:rPr>
        <w:t>or brief interventions.</w:t>
      </w:r>
    </w:p>
    <w:p w:rsidR="003608D7" w:rsidRDefault="003608D7" w:rsidP="003608D7">
      <w:pPr>
        <w:rPr>
          <w:rFonts w:eastAsiaTheme="minorEastAsia"/>
          <w:lang w:eastAsia="en-NZ"/>
        </w:rPr>
      </w:pPr>
    </w:p>
    <w:p w:rsidR="0088150A" w:rsidRPr="00B75D2F" w:rsidRDefault="0088150A" w:rsidP="003608D7">
      <w:pPr>
        <w:rPr>
          <w:lang w:eastAsia="en-NZ"/>
        </w:rPr>
      </w:pPr>
      <w:r w:rsidRPr="00B75D2F">
        <w:rPr>
          <w:lang w:eastAsia="en-NZ"/>
        </w:rPr>
        <w:t>Analysis of Ministry gambling service administrative data shows that of the</w:t>
      </w:r>
      <w:r w:rsidRPr="0004434B">
        <w:rPr>
          <w:lang w:eastAsia="en-NZ"/>
        </w:rPr>
        <w:t xml:space="preserve"> </w:t>
      </w:r>
      <w:r w:rsidRPr="00B75D2F">
        <w:rPr>
          <w:lang w:eastAsia="en-NZ"/>
        </w:rPr>
        <w:t xml:space="preserve">approximately </w:t>
      </w:r>
      <w:r w:rsidR="007155DB">
        <w:rPr>
          <w:lang w:eastAsia="en-NZ"/>
        </w:rPr>
        <w:t>5,400</w:t>
      </w:r>
      <w:r w:rsidRPr="00B75D2F">
        <w:rPr>
          <w:lang w:eastAsia="en-NZ"/>
        </w:rPr>
        <w:t xml:space="preserve"> gamblers who sought treatment in </w:t>
      </w:r>
      <w:r w:rsidR="007155DB" w:rsidRPr="00B75D2F">
        <w:rPr>
          <w:lang w:eastAsia="en-NZ"/>
        </w:rPr>
        <w:t>201</w:t>
      </w:r>
      <w:r w:rsidR="007155DB">
        <w:rPr>
          <w:lang w:eastAsia="en-NZ"/>
        </w:rPr>
        <w:t>7/18</w:t>
      </w:r>
      <w:r w:rsidRPr="00B75D2F">
        <w:rPr>
          <w:lang w:eastAsia="en-NZ"/>
        </w:rPr>
        <w:t>:</w:t>
      </w:r>
    </w:p>
    <w:p w:rsidR="0088150A" w:rsidRPr="00A13767" w:rsidRDefault="007155DB" w:rsidP="00F1577A">
      <w:pPr>
        <w:pStyle w:val="Bullet"/>
        <w:ind w:left="567" w:hanging="567"/>
        <w:rPr>
          <w:lang w:eastAsia="en-NZ"/>
        </w:rPr>
      </w:pPr>
      <w:r>
        <w:rPr>
          <w:lang w:eastAsia="en-NZ"/>
        </w:rPr>
        <w:t xml:space="preserve">39 </w:t>
      </w:r>
      <w:r w:rsidR="007131F6">
        <w:rPr>
          <w:lang w:eastAsia="en-NZ"/>
        </w:rPr>
        <w:t>percent</w:t>
      </w:r>
      <w:r w:rsidR="007131F6" w:rsidRPr="00A13767">
        <w:rPr>
          <w:lang w:eastAsia="en-NZ"/>
        </w:rPr>
        <w:t xml:space="preserve"> </w:t>
      </w:r>
      <w:r w:rsidR="0088150A" w:rsidRPr="00A13767">
        <w:rPr>
          <w:lang w:eastAsia="en-NZ"/>
        </w:rPr>
        <w:t>identified as European/</w:t>
      </w:r>
      <w:r w:rsidR="0088150A">
        <w:rPr>
          <w:lang w:eastAsia="en-NZ"/>
        </w:rPr>
        <w:t>o</w:t>
      </w:r>
      <w:r w:rsidR="0088150A" w:rsidRPr="00A13767">
        <w:rPr>
          <w:lang w:eastAsia="en-NZ"/>
        </w:rPr>
        <w:t>ther</w:t>
      </w:r>
    </w:p>
    <w:p w:rsidR="0088150A" w:rsidRPr="00A13767" w:rsidRDefault="0088150A" w:rsidP="003608D7">
      <w:pPr>
        <w:pStyle w:val="Bullet"/>
        <w:rPr>
          <w:lang w:eastAsia="en-NZ"/>
        </w:rPr>
      </w:pPr>
      <w:r w:rsidRPr="00A13767">
        <w:rPr>
          <w:lang w:eastAsia="en-NZ"/>
        </w:rPr>
        <w:t>31</w:t>
      </w:r>
      <w:r w:rsidR="007131F6">
        <w:rPr>
          <w:lang w:eastAsia="en-NZ"/>
        </w:rPr>
        <w:t xml:space="preserve"> percent</w:t>
      </w:r>
      <w:r w:rsidRPr="00A13767">
        <w:rPr>
          <w:lang w:eastAsia="en-NZ"/>
        </w:rPr>
        <w:t xml:space="preserve"> identified as Māori</w:t>
      </w:r>
    </w:p>
    <w:p w:rsidR="0088150A" w:rsidRPr="00A13767" w:rsidRDefault="007155DB" w:rsidP="003608D7">
      <w:pPr>
        <w:pStyle w:val="Bullet"/>
        <w:rPr>
          <w:lang w:eastAsia="en-NZ"/>
        </w:rPr>
      </w:pPr>
      <w:r>
        <w:rPr>
          <w:lang w:eastAsia="en-NZ"/>
        </w:rPr>
        <w:t xml:space="preserve">21 </w:t>
      </w:r>
      <w:r w:rsidR="007131F6">
        <w:rPr>
          <w:lang w:eastAsia="en-NZ"/>
        </w:rPr>
        <w:t>percent</w:t>
      </w:r>
      <w:r w:rsidR="0088150A" w:rsidRPr="00A13767">
        <w:rPr>
          <w:lang w:eastAsia="en-NZ"/>
        </w:rPr>
        <w:t xml:space="preserve"> identified as Pacific peoples</w:t>
      </w:r>
    </w:p>
    <w:p w:rsidR="0088150A" w:rsidRPr="00A13767" w:rsidRDefault="007155DB" w:rsidP="003608D7">
      <w:pPr>
        <w:pStyle w:val="Bullet"/>
        <w:rPr>
          <w:lang w:eastAsia="en-NZ"/>
        </w:rPr>
      </w:pPr>
      <w:r>
        <w:rPr>
          <w:lang w:eastAsia="en-NZ"/>
        </w:rPr>
        <w:t xml:space="preserve">9 </w:t>
      </w:r>
      <w:r w:rsidR="007131F6">
        <w:rPr>
          <w:lang w:eastAsia="en-NZ"/>
        </w:rPr>
        <w:t>percent</w:t>
      </w:r>
      <w:r w:rsidR="0088150A" w:rsidRPr="00A13767">
        <w:rPr>
          <w:lang w:eastAsia="en-NZ"/>
        </w:rPr>
        <w:t xml:space="preserve"> identified as East-Asian</w:t>
      </w:r>
    </w:p>
    <w:p w:rsidR="0088150A" w:rsidRPr="00A13767" w:rsidRDefault="007155DB" w:rsidP="003608D7">
      <w:pPr>
        <w:pStyle w:val="Bullet"/>
        <w:rPr>
          <w:lang w:eastAsia="en-NZ"/>
        </w:rPr>
      </w:pPr>
      <w:r>
        <w:rPr>
          <w:lang w:eastAsia="en-NZ"/>
        </w:rPr>
        <w:t xml:space="preserve">56 </w:t>
      </w:r>
      <w:r w:rsidR="007131F6">
        <w:rPr>
          <w:lang w:eastAsia="en-NZ"/>
        </w:rPr>
        <w:t>percent</w:t>
      </w:r>
      <w:r w:rsidR="0088150A" w:rsidRPr="00A13767">
        <w:rPr>
          <w:lang w:eastAsia="en-NZ"/>
        </w:rPr>
        <w:t xml:space="preserve"> were men</w:t>
      </w:r>
    </w:p>
    <w:p w:rsidR="0088150A" w:rsidRPr="00A13767" w:rsidRDefault="0088150A" w:rsidP="007155DB">
      <w:pPr>
        <w:pStyle w:val="Bullet"/>
        <w:rPr>
          <w:lang w:eastAsia="en-NZ"/>
        </w:rPr>
      </w:pPr>
      <w:r w:rsidRPr="00A13767">
        <w:rPr>
          <w:lang w:eastAsia="en-NZ"/>
        </w:rPr>
        <w:t>the average age was 42 years.</w:t>
      </w:r>
    </w:p>
    <w:p w:rsidR="0088150A" w:rsidRDefault="0088150A" w:rsidP="003608D7">
      <w:pPr>
        <w:rPr>
          <w:lang w:eastAsia="en-NZ"/>
        </w:rPr>
      </w:pPr>
    </w:p>
    <w:p w:rsidR="0088150A" w:rsidRDefault="0088150A" w:rsidP="003608D7">
      <w:pPr>
        <w:rPr>
          <w:lang w:eastAsia="en-NZ"/>
        </w:rPr>
      </w:pPr>
      <w:r>
        <w:rPr>
          <w:lang w:eastAsia="en-NZ"/>
        </w:rPr>
        <w:t>O</w:t>
      </w:r>
      <w:r w:rsidRPr="005F687D">
        <w:rPr>
          <w:lang w:eastAsia="en-NZ"/>
        </w:rPr>
        <w:t>f the 2,</w:t>
      </w:r>
      <w:r w:rsidR="00441E69">
        <w:rPr>
          <w:lang w:eastAsia="en-NZ"/>
        </w:rPr>
        <w:t>702</w:t>
      </w:r>
      <w:r w:rsidR="00891978" w:rsidRPr="005F687D">
        <w:rPr>
          <w:lang w:eastAsia="en-NZ"/>
        </w:rPr>
        <w:t xml:space="preserve"> </w:t>
      </w:r>
      <w:r w:rsidRPr="005F687D">
        <w:rPr>
          <w:lang w:eastAsia="en-NZ"/>
        </w:rPr>
        <w:t xml:space="preserve">who were screened for co-existing problematic alcohol </w:t>
      </w:r>
      <w:r w:rsidR="00441E69">
        <w:rPr>
          <w:lang w:eastAsia="en-NZ"/>
        </w:rPr>
        <w:t>or</w:t>
      </w:r>
      <w:r w:rsidR="00441E69" w:rsidRPr="005F687D">
        <w:rPr>
          <w:lang w:eastAsia="en-NZ"/>
        </w:rPr>
        <w:t xml:space="preserve"> </w:t>
      </w:r>
      <w:r w:rsidRPr="005F687D">
        <w:rPr>
          <w:lang w:eastAsia="en-NZ"/>
        </w:rPr>
        <w:t xml:space="preserve">drug use, </w:t>
      </w:r>
      <w:r w:rsidR="00441E69">
        <w:rPr>
          <w:lang w:eastAsia="en-NZ"/>
        </w:rPr>
        <w:t xml:space="preserve">67 </w:t>
      </w:r>
      <w:r w:rsidR="007131F6">
        <w:rPr>
          <w:lang w:eastAsia="en-NZ"/>
        </w:rPr>
        <w:t>percent</w:t>
      </w:r>
      <w:r w:rsidR="007131F6" w:rsidRPr="005F687D">
        <w:rPr>
          <w:lang w:eastAsia="en-NZ"/>
        </w:rPr>
        <w:t xml:space="preserve"> </w:t>
      </w:r>
      <w:r w:rsidRPr="005F687D">
        <w:rPr>
          <w:lang w:eastAsia="en-NZ"/>
        </w:rPr>
        <w:t>were identified as having a co-existing issue.</w:t>
      </w:r>
    </w:p>
    <w:p w:rsidR="003608D7" w:rsidRPr="005F687D" w:rsidRDefault="003608D7" w:rsidP="003608D7">
      <w:pPr>
        <w:rPr>
          <w:lang w:eastAsia="en-NZ"/>
        </w:rPr>
      </w:pPr>
    </w:p>
    <w:p w:rsidR="0088150A" w:rsidRDefault="0088150A" w:rsidP="003608D7">
      <w:pPr>
        <w:rPr>
          <w:lang w:eastAsia="en-NZ"/>
        </w:rPr>
      </w:pPr>
      <w:r>
        <w:rPr>
          <w:lang w:eastAsia="en-NZ"/>
        </w:rPr>
        <w:lastRenderedPageBreak/>
        <w:t xml:space="preserve">The </w:t>
      </w:r>
      <w:r w:rsidRPr="00A13767">
        <w:rPr>
          <w:lang w:eastAsia="en-NZ"/>
        </w:rPr>
        <w:t>current levels of</w:t>
      </w:r>
      <w:r w:rsidRPr="0004434B">
        <w:rPr>
          <w:lang w:eastAsia="en-NZ"/>
        </w:rPr>
        <w:t xml:space="preserve"> </w:t>
      </w:r>
      <w:r>
        <w:rPr>
          <w:lang w:eastAsia="en-NZ"/>
        </w:rPr>
        <w:t xml:space="preserve">people presenting for services </w:t>
      </w:r>
      <w:r w:rsidRPr="00A13767">
        <w:rPr>
          <w:lang w:eastAsia="en-NZ"/>
        </w:rPr>
        <w:t>are substantively lower than expected</w:t>
      </w:r>
      <w:r>
        <w:rPr>
          <w:lang w:eastAsia="en-NZ"/>
        </w:rPr>
        <w:t>, representing only 16 percent of the number estimated to be affected by moderate to severe gambling harm.</w:t>
      </w:r>
      <w:r w:rsidRPr="003608D7">
        <w:rPr>
          <w:rStyle w:val="FootnoteReference"/>
          <w:rFonts w:eastAsiaTheme="minorEastAsia"/>
        </w:rPr>
        <w:footnoteReference w:id="6"/>
      </w:r>
    </w:p>
    <w:p w:rsidR="00A10EC0" w:rsidRDefault="0088150A" w:rsidP="003608D7">
      <w:pPr>
        <w:pStyle w:val="Heading4"/>
      </w:pPr>
      <w:r w:rsidRPr="005B5ECD">
        <w:t>Early intervention</w:t>
      </w:r>
    </w:p>
    <w:p w:rsidR="00A10EC0" w:rsidRDefault="0088150A" w:rsidP="003608D7">
      <w:r>
        <w:t>I</w:t>
      </w:r>
      <w:r w:rsidRPr="00A13767">
        <w:t>t is apparent that a number of New Zealanders who would benefit from gambling harm intervention are not seeking help</w:t>
      </w:r>
      <w:r>
        <w:t xml:space="preserve">. </w:t>
      </w:r>
      <w:r w:rsidRPr="00A13767">
        <w:t xml:space="preserve">Likely causes </w:t>
      </w:r>
      <w:r>
        <w:t xml:space="preserve">for this (identified in submissions to this consultation from health and service providers) </w:t>
      </w:r>
      <w:r w:rsidRPr="00A13767">
        <w:t>are the high level of stigma associated with gambling harm and societal attitudes towards gambling</w:t>
      </w:r>
      <w:r>
        <w:t>, as well as cultural, language and other barriers.</w:t>
      </w:r>
    </w:p>
    <w:p w:rsidR="0088150A" w:rsidRDefault="0088150A" w:rsidP="003608D7"/>
    <w:p w:rsidR="00A10EC0" w:rsidRDefault="0088150A" w:rsidP="003608D7">
      <w:r w:rsidRPr="00C10A99">
        <w:t xml:space="preserve">While it is necessary to address the needs of those who have already developed a serious gambling problem and who need specialist help, </w:t>
      </w:r>
      <w:r>
        <w:t xml:space="preserve">it is clear that </w:t>
      </w:r>
      <w:r w:rsidRPr="00C10A99">
        <w:t>earl</w:t>
      </w:r>
      <w:r>
        <w:t xml:space="preserve">ier </w:t>
      </w:r>
      <w:r w:rsidRPr="00C10A99">
        <w:t>prevention</w:t>
      </w:r>
      <w:r>
        <w:t>-focused</w:t>
      </w:r>
      <w:r w:rsidRPr="00C10A99">
        <w:t xml:space="preserve"> interventions c</w:t>
      </w:r>
      <w:r>
        <w:t xml:space="preserve">ould </w:t>
      </w:r>
      <w:r w:rsidRPr="00C10A99">
        <w:t>help individuals and their famil</w:t>
      </w:r>
      <w:r>
        <w:t>ies</w:t>
      </w:r>
      <w:r w:rsidR="009C5BBD">
        <w:t xml:space="preserve">, </w:t>
      </w:r>
      <w:r w:rsidRPr="00C10A99">
        <w:t>wh</w:t>
      </w:r>
      <w:r>
        <w:t>ā</w:t>
      </w:r>
      <w:r w:rsidRPr="00C10A99">
        <w:t xml:space="preserve">nau and communities </w:t>
      </w:r>
      <w:r w:rsidR="009C5BBD">
        <w:t xml:space="preserve">to </w:t>
      </w:r>
      <w:r w:rsidRPr="00C10A99">
        <w:t xml:space="preserve">avoid </w:t>
      </w:r>
      <w:r>
        <w:t>developing harmful gambling behaviours and associated</w:t>
      </w:r>
      <w:r w:rsidRPr="00C10A99">
        <w:t xml:space="preserve"> </w:t>
      </w:r>
      <w:r>
        <w:t xml:space="preserve">higher risks of </w:t>
      </w:r>
      <w:r w:rsidRPr="00C10A99">
        <w:t>harm.</w:t>
      </w:r>
    </w:p>
    <w:p w:rsidR="0088150A" w:rsidRDefault="0088150A" w:rsidP="003608D7"/>
    <w:p w:rsidR="0088150A" w:rsidRDefault="0088150A" w:rsidP="003608D7">
      <w:r>
        <w:t xml:space="preserve">This approach aligns closely with public health programmes in the mental health and addictions areas of alcohol, tobacco and drug use, and </w:t>
      </w:r>
      <w:r w:rsidRPr="00252C71">
        <w:t>family</w:t>
      </w:r>
      <w:r w:rsidR="00281081">
        <w:t xml:space="preserve">, </w:t>
      </w:r>
      <w:r w:rsidRPr="00C10A99">
        <w:t>wh</w:t>
      </w:r>
      <w:r>
        <w:t>ā</w:t>
      </w:r>
      <w:r w:rsidRPr="00C10A99">
        <w:t>nau</w:t>
      </w:r>
      <w:r>
        <w:t xml:space="preserve"> and </w:t>
      </w:r>
      <w:r w:rsidRPr="00252C71">
        <w:t>partner violence</w:t>
      </w:r>
      <w:r>
        <w:t xml:space="preserve"> prevention</w:t>
      </w:r>
      <w:r w:rsidRPr="00252C71">
        <w:t>.</w:t>
      </w:r>
    </w:p>
    <w:p w:rsidR="0088150A" w:rsidRPr="000D164E" w:rsidRDefault="0088150A" w:rsidP="003608D7">
      <w:pPr>
        <w:pStyle w:val="Heading4"/>
      </w:pPr>
      <w:r w:rsidRPr="000D164E">
        <w:t>Conclusions</w:t>
      </w:r>
    </w:p>
    <w:p w:rsidR="0088150A" w:rsidRPr="008E3950" w:rsidRDefault="0088150A" w:rsidP="003608D7">
      <w:r>
        <w:t xml:space="preserve">The key issues underpinning the strategy </w:t>
      </w:r>
      <w:r w:rsidRPr="008E3950">
        <w:t>include:</w:t>
      </w:r>
    </w:p>
    <w:p w:rsidR="0088150A" w:rsidRPr="008E3950" w:rsidRDefault="0088150A" w:rsidP="003608D7">
      <w:pPr>
        <w:pStyle w:val="Bullet"/>
      </w:pPr>
      <w:r w:rsidRPr="008E3950">
        <w:t>the disproportionate levels of harm experienced by Māori and Pacific people</w:t>
      </w:r>
      <w:r>
        <w:t>s</w:t>
      </w:r>
      <w:r w:rsidRPr="008E3950">
        <w:t>, and by some segments of the Asian population</w:t>
      </w:r>
    </w:p>
    <w:p w:rsidR="0088150A" w:rsidRPr="008E3950" w:rsidRDefault="0088150A" w:rsidP="003608D7">
      <w:pPr>
        <w:pStyle w:val="Bullet"/>
      </w:pPr>
      <w:r w:rsidRPr="008E3950">
        <w:t xml:space="preserve">the higher levels of exposure to gambling products and the disproportionate levels of harm experienced by people living in </w:t>
      </w:r>
      <w:r>
        <w:t>areas with high social deprivation index scores</w:t>
      </w:r>
    </w:p>
    <w:p w:rsidR="0088150A" w:rsidRPr="008E3950" w:rsidRDefault="0088150A" w:rsidP="003608D7">
      <w:pPr>
        <w:pStyle w:val="Bullet"/>
      </w:pPr>
      <w:r>
        <w:t xml:space="preserve">the </w:t>
      </w:r>
      <w:r w:rsidRPr="008E3950">
        <w:t>high rates of comorbidities among at-risk gamblers</w:t>
      </w:r>
      <w:r>
        <w:t>, and low levels of treatment uptake and screening to minimise and prevent gambling harm</w:t>
      </w:r>
    </w:p>
    <w:p w:rsidR="0088150A" w:rsidRPr="008E3950" w:rsidRDefault="0088150A" w:rsidP="003608D7">
      <w:pPr>
        <w:pStyle w:val="Bullet"/>
      </w:pPr>
      <w:r w:rsidRPr="008E3950">
        <w:t>the harm experienced by children and the involvement of younger people in gambling</w:t>
      </w:r>
    </w:p>
    <w:p w:rsidR="0088150A" w:rsidRPr="008E3950" w:rsidRDefault="0088150A" w:rsidP="003608D7">
      <w:pPr>
        <w:pStyle w:val="Bullet"/>
      </w:pPr>
      <w:r w:rsidRPr="008E3950">
        <w:t xml:space="preserve">the possibility of a </w:t>
      </w:r>
      <w:r>
        <w:t xml:space="preserve">significant </w:t>
      </w:r>
      <w:r w:rsidRPr="008E3950">
        <w:t>increase in online gambling</w:t>
      </w:r>
      <w:r>
        <w:t>.</w:t>
      </w:r>
    </w:p>
    <w:p w:rsidR="0088150A" w:rsidRPr="000D164E" w:rsidRDefault="0088150A" w:rsidP="003608D7"/>
    <w:p w:rsidR="0088150A" w:rsidRPr="006E5968" w:rsidRDefault="0088150A" w:rsidP="003608D7">
      <w:pPr>
        <w:pStyle w:val="Heading2"/>
      </w:pPr>
      <w:bookmarkStart w:id="17" w:name="_Toc517090887"/>
      <w:bookmarkStart w:id="18" w:name="_Toc530487396"/>
      <w:bookmarkStart w:id="19" w:name="_Toc9239591"/>
      <w:r w:rsidRPr="006E5968">
        <w:t>Key principles underpinning the strategy</w:t>
      </w:r>
      <w:bookmarkEnd w:id="17"/>
      <w:bookmarkEnd w:id="18"/>
      <w:bookmarkEnd w:id="19"/>
    </w:p>
    <w:p w:rsidR="0088150A" w:rsidRPr="00E312E8" w:rsidRDefault="0088150A" w:rsidP="003608D7">
      <w:r w:rsidRPr="00E312E8">
        <w:t>A number of key principles have guided the development of both elements in the proposed strategy</w:t>
      </w:r>
      <w:r>
        <w:t>:</w:t>
      </w:r>
      <w:r w:rsidRPr="00E312E8">
        <w:t xml:space="preserve"> the </w:t>
      </w:r>
      <w:r>
        <w:t>s</w:t>
      </w:r>
      <w:r w:rsidRPr="00E312E8">
        <w:t xml:space="preserve">trategic </w:t>
      </w:r>
      <w:r>
        <w:t>p</w:t>
      </w:r>
      <w:r w:rsidRPr="00E312E8">
        <w:t xml:space="preserve">lan and the corresponding three-year </w:t>
      </w:r>
      <w:r>
        <w:t>s</w:t>
      </w:r>
      <w:r w:rsidRPr="00E312E8">
        <w:t xml:space="preserve">ervice </w:t>
      </w:r>
      <w:r>
        <w:t>p</w:t>
      </w:r>
      <w:r w:rsidRPr="00E312E8">
        <w:t>lan</w:t>
      </w:r>
      <w:r>
        <w:t>. These are</w:t>
      </w:r>
      <w:r w:rsidRPr="00E312E8">
        <w:t>:</w:t>
      </w:r>
    </w:p>
    <w:p w:rsidR="0088150A" w:rsidRPr="00641D4D" w:rsidRDefault="0088150A" w:rsidP="003608D7">
      <w:pPr>
        <w:pStyle w:val="Bullet"/>
      </w:pPr>
      <w:r w:rsidRPr="00293332">
        <w:lastRenderedPageBreak/>
        <w:t>to reflect the relationship between the Crown and Māori under Te Tiriti o Waitangi, and in particular to apply the principles of partnership, participation</w:t>
      </w:r>
      <w:r w:rsidRPr="00641D4D">
        <w:t xml:space="preserve"> and protection</w:t>
      </w:r>
    </w:p>
    <w:p w:rsidR="0088150A" w:rsidRPr="00641D4D" w:rsidRDefault="0088150A" w:rsidP="003608D7">
      <w:pPr>
        <w:pStyle w:val="Bullet"/>
      </w:pPr>
      <w:r w:rsidRPr="00644C56">
        <w:t>t</w:t>
      </w:r>
      <w:r w:rsidRPr="00293332">
        <w:t>o achieve health equity</w:t>
      </w:r>
      <w:r>
        <w:t>:</w:t>
      </w:r>
    </w:p>
    <w:p w:rsidR="0088150A" w:rsidRPr="00C10A99" w:rsidRDefault="0088150A" w:rsidP="003608D7">
      <w:pPr>
        <w:pStyle w:val="Dash"/>
      </w:pPr>
      <w:r w:rsidRPr="00C10A99">
        <w:t>to maintain a comprehensive range of public health services based on the World Health Organization</w:t>
      </w:r>
      <w:r w:rsidR="00A10EC0">
        <w:t>’</w:t>
      </w:r>
      <w:r>
        <w:t>s</w:t>
      </w:r>
      <w:r w:rsidRPr="00C10A99">
        <w:t xml:space="preserve"> (WHO</w:t>
      </w:r>
      <w:r w:rsidR="00A10EC0">
        <w:t>’</w:t>
      </w:r>
      <w:r>
        <w:t>s</w:t>
      </w:r>
      <w:r w:rsidRPr="00C10A99">
        <w:t xml:space="preserve">) Ottawa Charter for Health Promotion and New Zealand models of health (particularly Māori models, such as Pae </w:t>
      </w:r>
      <w:r>
        <w:t>O</w:t>
      </w:r>
      <w:r w:rsidRPr="00C10A99">
        <w:t>ra</w:t>
      </w:r>
      <w:r>
        <w:t xml:space="preserve"> – healthy futures</w:t>
      </w:r>
      <w:r w:rsidRPr="00C10A99">
        <w:t>, Te Pae Mahutonga</w:t>
      </w:r>
      <w:r>
        <w:t xml:space="preserve">, Te Wheke </w:t>
      </w:r>
      <w:r w:rsidRPr="00C10A99">
        <w:t>and Te Whare Tapa Whā)</w:t>
      </w:r>
    </w:p>
    <w:p w:rsidR="0088150A" w:rsidRPr="00C10A99" w:rsidRDefault="0088150A" w:rsidP="003608D7">
      <w:pPr>
        <w:pStyle w:val="Dash"/>
      </w:pPr>
      <w:r w:rsidRPr="00C10A99">
        <w:t>to fund services that prevent and minimise gambling harm for priority populations</w:t>
      </w:r>
    </w:p>
    <w:p w:rsidR="0088150A" w:rsidRPr="00C10A99" w:rsidRDefault="0088150A" w:rsidP="003608D7">
      <w:pPr>
        <w:pStyle w:val="Dash"/>
      </w:pPr>
      <w:r w:rsidRPr="00C10A99">
        <w:t>to ensure culturally accessible and responsive services</w:t>
      </w:r>
    </w:p>
    <w:p w:rsidR="0088150A" w:rsidRPr="00C10A99" w:rsidRDefault="0088150A" w:rsidP="003608D7">
      <w:pPr>
        <w:pStyle w:val="Dash"/>
      </w:pPr>
      <w:r w:rsidRPr="00C10A99">
        <w:t>to ensure links between public health and intervention services</w:t>
      </w:r>
    </w:p>
    <w:p w:rsidR="0088150A" w:rsidRPr="00C10A99" w:rsidRDefault="0088150A" w:rsidP="003608D7">
      <w:pPr>
        <w:pStyle w:val="Dash"/>
      </w:pPr>
      <w:r w:rsidRPr="00C10A99">
        <w:t>to maintain a focus on healthy futures for Māori</w:t>
      </w:r>
    </w:p>
    <w:p w:rsidR="0088150A" w:rsidRPr="00C10A99" w:rsidRDefault="0088150A" w:rsidP="003608D7">
      <w:pPr>
        <w:pStyle w:val="Dash"/>
      </w:pPr>
      <w:r w:rsidRPr="00C10A99">
        <w:t>to maintain a focus on improving health outcomes for Pacific peoples</w:t>
      </w:r>
    </w:p>
    <w:p w:rsidR="0088150A" w:rsidRPr="00C10A99" w:rsidRDefault="0088150A" w:rsidP="003608D7">
      <w:pPr>
        <w:pStyle w:val="Dash"/>
      </w:pPr>
      <w:r w:rsidRPr="00C10A99">
        <w:t>to ensure services are evidence-based, effective and sustainable</w:t>
      </w:r>
    </w:p>
    <w:p w:rsidR="0088150A" w:rsidRPr="00C10A99" w:rsidRDefault="0088150A" w:rsidP="003608D7">
      <w:pPr>
        <w:pStyle w:val="Dash"/>
      </w:pPr>
      <w:r w:rsidRPr="00C10A99">
        <w:t>to develop the workforce</w:t>
      </w:r>
    </w:p>
    <w:p w:rsidR="0088150A" w:rsidRPr="00C10A99" w:rsidRDefault="0088150A" w:rsidP="003608D7">
      <w:pPr>
        <w:pStyle w:val="Dash"/>
      </w:pPr>
      <w:r w:rsidRPr="00C10A99">
        <w:t>to apply an intersectoral approach</w:t>
      </w:r>
    </w:p>
    <w:p w:rsidR="0088150A" w:rsidRDefault="0088150A" w:rsidP="003608D7">
      <w:pPr>
        <w:pStyle w:val="Dash"/>
      </w:pPr>
      <w:r w:rsidRPr="00C10A99">
        <w:t>to strengthen communities.</w:t>
      </w:r>
    </w:p>
    <w:p w:rsidR="00A10EC0" w:rsidRDefault="0088150A" w:rsidP="003608D7">
      <w:pPr>
        <w:pStyle w:val="Heading2"/>
      </w:pPr>
      <w:bookmarkStart w:id="20" w:name="_Toc517090888"/>
      <w:bookmarkStart w:id="21" w:name="_Toc530487397"/>
      <w:bookmarkStart w:id="22" w:name="_Toc9239592"/>
      <w:r w:rsidRPr="006E5968">
        <w:t xml:space="preserve">Functions of the </w:t>
      </w:r>
      <w:r>
        <w:t>s</w:t>
      </w:r>
      <w:r w:rsidRPr="006E5968">
        <w:t>trategy</w:t>
      </w:r>
      <w:bookmarkEnd w:id="20"/>
      <w:bookmarkEnd w:id="21"/>
      <w:bookmarkEnd w:id="22"/>
    </w:p>
    <w:p w:rsidR="0088150A" w:rsidRDefault="0088150A" w:rsidP="003608D7">
      <w:pPr>
        <w:rPr>
          <w:rFonts w:cs="Garamond"/>
          <w:color w:val="000000"/>
        </w:rPr>
      </w:pPr>
      <w:r w:rsidRPr="00E312E8">
        <w:t>The strategy comprise</w:t>
      </w:r>
      <w:r>
        <w:t>s</w:t>
      </w:r>
      <w:r w:rsidRPr="00E312E8">
        <w:t xml:space="preserve"> a rolling six</w:t>
      </w:r>
      <w:r>
        <w:t>-</w:t>
      </w:r>
      <w:r w:rsidRPr="00E312E8">
        <w:t>year strategic plan and a three</w:t>
      </w:r>
      <w:r>
        <w:t>-</w:t>
      </w:r>
      <w:r w:rsidRPr="00E312E8">
        <w:t>year service plan and is refreshed every three years. Together</w:t>
      </w:r>
      <w:r>
        <w:t>,</w:t>
      </w:r>
      <w:r w:rsidRPr="00E312E8">
        <w:t xml:space="preserve"> the</w:t>
      </w:r>
      <w:r>
        <w:t xml:space="preserve"> strategic and service plans</w:t>
      </w:r>
      <w:r w:rsidRPr="00E312E8">
        <w:t xml:space="preserve"> </w:t>
      </w:r>
      <w:r w:rsidRPr="00E312E8">
        <w:rPr>
          <w:rFonts w:cs="Garamond"/>
          <w:color w:val="000000"/>
        </w:rPr>
        <w:t>set out the Ministry</w:t>
      </w:r>
      <w:r w:rsidR="00A10EC0">
        <w:rPr>
          <w:rFonts w:cs="Garamond"/>
          <w:color w:val="000000"/>
        </w:rPr>
        <w:t>’</w:t>
      </w:r>
      <w:r w:rsidRPr="00E312E8">
        <w:rPr>
          <w:rFonts w:cs="Garamond"/>
          <w:color w:val="000000"/>
        </w:rPr>
        <w:t xml:space="preserve">s </w:t>
      </w:r>
      <w:r w:rsidRPr="00B47FDC">
        <w:rPr>
          <w:rFonts w:cs="Garamond"/>
          <w:color w:val="000000"/>
        </w:rPr>
        <w:t xml:space="preserve">approach </w:t>
      </w:r>
      <w:r w:rsidRPr="00E728BA">
        <w:rPr>
          <w:rFonts w:cs="Garamond"/>
          <w:color w:val="000000"/>
        </w:rPr>
        <w:t>and the range of activities it plans to undertake</w:t>
      </w:r>
      <w:r w:rsidRPr="00C10A99">
        <w:rPr>
          <w:rFonts w:cs="Garamond"/>
          <w:color w:val="000000"/>
        </w:rPr>
        <w:t xml:space="preserve"> to minimise gambling harm from </w:t>
      </w:r>
      <w:r>
        <w:rPr>
          <w:rFonts w:cs="Garamond"/>
          <w:color w:val="000000"/>
        </w:rPr>
        <w:t>201</w:t>
      </w:r>
      <w:r w:rsidRPr="00C10A99">
        <w:rPr>
          <w:rFonts w:cs="Garamond"/>
          <w:color w:val="000000"/>
        </w:rPr>
        <w:t>9/20 to 2021/22.</w:t>
      </w:r>
    </w:p>
    <w:p w:rsidR="0088150A" w:rsidRDefault="0088150A" w:rsidP="003608D7"/>
    <w:p w:rsidR="0088150A" w:rsidRDefault="0088150A" w:rsidP="003608D7">
      <w:r w:rsidRPr="00C10A99">
        <w:t xml:space="preserve">The strategy </w:t>
      </w:r>
      <w:r>
        <w:t xml:space="preserve">sets out </w:t>
      </w:r>
      <w:r w:rsidRPr="00C10A99">
        <w:t>the statutory requirements for an integrated problem gambling strategy</w:t>
      </w:r>
      <w:r>
        <w:t xml:space="preserve"> and </w:t>
      </w:r>
      <w:r w:rsidRPr="00C10A99">
        <w:t>the aim for gambling harm minimisation</w:t>
      </w:r>
      <w:r>
        <w:t>,</w:t>
      </w:r>
      <w:r w:rsidRPr="00C10A99">
        <w:t xml:space="preserve"> and </w:t>
      </w:r>
      <w:r>
        <w:t xml:space="preserve">specifies </w:t>
      </w:r>
      <w:r w:rsidRPr="00C10A99">
        <w:t>11 strategic objectives.</w:t>
      </w:r>
    </w:p>
    <w:p w:rsidR="0088150A" w:rsidRDefault="0088150A" w:rsidP="003608D7"/>
    <w:p w:rsidR="0088150A" w:rsidRPr="00C10A99" w:rsidRDefault="0088150A" w:rsidP="003608D7">
      <w:r>
        <w:t>It</w:t>
      </w:r>
      <w:r w:rsidRPr="00C10A99">
        <w:t xml:space="preserve"> reflects the Ministry</w:t>
      </w:r>
      <w:r w:rsidR="00A10EC0">
        <w:t>’</w:t>
      </w:r>
      <w:r w:rsidRPr="00C10A99">
        <w:t xml:space="preserve">s public health approach to gambling harm minimisation and its relationship to the complementary responsibility of </w:t>
      </w:r>
      <w:r>
        <w:t>DIA in</w:t>
      </w:r>
      <w:r w:rsidRPr="00C10A99">
        <w:t xml:space="preserve"> regulati</w:t>
      </w:r>
      <w:r>
        <w:t>ng</w:t>
      </w:r>
      <w:r w:rsidRPr="00C10A99">
        <w:t xml:space="preserve"> gambling activity. </w:t>
      </w:r>
      <w:r>
        <w:t>O</w:t>
      </w:r>
      <w:r w:rsidRPr="00C10A99">
        <w:t>ther key Ministry strategic documents</w:t>
      </w:r>
      <w:r>
        <w:t xml:space="preserve"> inform the strategy and align with it</w:t>
      </w:r>
      <w:r w:rsidRPr="00C10A99">
        <w:t>.</w:t>
      </w:r>
    </w:p>
    <w:p w:rsidR="0088150A" w:rsidRDefault="0088150A" w:rsidP="003608D7"/>
    <w:p w:rsidR="0088150A" w:rsidRPr="00C10A99" w:rsidRDefault="0088150A" w:rsidP="003608D7">
      <w:r w:rsidRPr="00C10A99">
        <w:t>The strategic plan provides the strategic context and direction for the three</w:t>
      </w:r>
      <w:r>
        <w:t>-</w:t>
      </w:r>
      <w:r w:rsidRPr="00C10A99">
        <w:t xml:space="preserve">year </w:t>
      </w:r>
      <w:r>
        <w:t>s</w:t>
      </w:r>
      <w:r w:rsidRPr="00C10A99">
        <w:t xml:space="preserve">ervice </w:t>
      </w:r>
      <w:r>
        <w:t>p</w:t>
      </w:r>
      <w:r w:rsidRPr="00C10A99">
        <w:t>lan.</w:t>
      </w:r>
    </w:p>
    <w:p w:rsidR="0088150A" w:rsidRDefault="0088150A" w:rsidP="003608D7"/>
    <w:p w:rsidR="0088150A" w:rsidRDefault="0088150A" w:rsidP="003608D7">
      <w:r w:rsidRPr="00C10A99">
        <w:t xml:space="preserve">The Ministry </w:t>
      </w:r>
      <w:r w:rsidR="00652CE2">
        <w:t xml:space="preserve">has made </w:t>
      </w:r>
      <w:r w:rsidRPr="00C10A99">
        <w:t xml:space="preserve">some </w:t>
      </w:r>
      <w:r w:rsidR="00652CE2">
        <w:t xml:space="preserve">changes </w:t>
      </w:r>
      <w:r w:rsidRPr="00C10A99">
        <w:t>to the strategic plan to reflect changes in the minimising gambling harm and wider addiction and mental health sector landscape</w:t>
      </w:r>
      <w:r>
        <w:t xml:space="preserve">. </w:t>
      </w:r>
      <w:r w:rsidR="00652CE2">
        <w:t xml:space="preserve">Section 3 outlines </w:t>
      </w:r>
      <w:r>
        <w:t xml:space="preserve">more </w:t>
      </w:r>
      <w:r w:rsidRPr="00C10A99">
        <w:t xml:space="preserve">substantial changes </w:t>
      </w:r>
      <w:r>
        <w:t>for</w:t>
      </w:r>
      <w:r w:rsidRPr="00C10A99">
        <w:t xml:space="preserve"> the next three years</w:t>
      </w:r>
      <w:r w:rsidRPr="00C10A99" w:rsidDel="00641D4D">
        <w:t xml:space="preserve"> </w:t>
      </w:r>
      <w:r>
        <w:t>of the s</w:t>
      </w:r>
      <w:r w:rsidRPr="00C10A99">
        <w:t xml:space="preserve">ervice </w:t>
      </w:r>
      <w:r>
        <w:t>p</w:t>
      </w:r>
      <w:r w:rsidRPr="00C10A99">
        <w:t>lan</w:t>
      </w:r>
      <w:r>
        <w:t>,</w:t>
      </w:r>
      <w:r w:rsidRPr="00C10A99">
        <w:t xml:space="preserve"> to address areas highlighted by the needs assessment and </w:t>
      </w:r>
      <w:r>
        <w:t xml:space="preserve">outcomes monitoring </w:t>
      </w:r>
      <w:r w:rsidRPr="00C10A99">
        <w:t xml:space="preserve">summarised </w:t>
      </w:r>
      <w:r>
        <w:t>below</w:t>
      </w:r>
      <w:r w:rsidRPr="00C10A99">
        <w:t>.</w:t>
      </w:r>
    </w:p>
    <w:p w:rsidR="0088150A" w:rsidRDefault="0088150A" w:rsidP="003608D7">
      <w:pPr>
        <w:pStyle w:val="Heading2"/>
      </w:pPr>
      <w:bookmarkStart w:id="23" w:name="_Toc517090889"/>
      <w:bookmarkStart w:id="24" w:name="_Toc530487398"/>
      <w:bookmarkStart w:id="25" w:name="_Toc9239593"/>
      <w:r w:rsidRPr="006E5968">
        <w:lastRenderedPageBreak/>
        <w:t xml:space="preserve">Gambling harm needs </w:t>
      </w:r>
      <w:r>
        <w:t>a</w:t>
      </w:r>
      <w:r w:rsidRPr="006E5968">
        <w:t>ssessmen</w:t>
      </w:r>
      <w:r w:rsidRPr="00E0156C">
        <w:t>t</w:t>
      </w:r>
      <w:bookmarkEnd w:id="23"/>
      <w:bookmarkEnd w:id="24"/>
      <w:bookmarkEnd w:id="25"/>
    </w:p>
    <w:p w:rsidR="0088150A" w:rsidRPr="00C10A99" w:rsidRDefault="0088150A" w:rsidP="003608D7">
      <w:r w:rsidRPr="00E312E8">
        <w:t>The Act requires the Ministry to undertake a needs assessment to inform the development of the strategy. The needs assessment looks at facts and figures about gambling</w:t>
      </w:r>
      <w:r>
        <w:t>-</w:t>
      </w:r>
      <w:r w:rsidRPr="00E312E8">
        <w:t xml:space="preserve">related harm in New Zealand to </w:t>
      </w:r>
      <w:r w:rsidRPr="00B47FDC">
        <w:t>highlight</w:t>
      </w:r>
      <w:r w:rsidRPr="00C10A99">
        <w:t xml:space="preserve"> any gaps between the research evidence, population needs, service provision and the </w:t>
      </w:r>
      <w:r>
        <w:t>strategy</w:t>
      </w:r>
      <w:r w:rsidR="00A10EC0">
        <w:t>’</w:t>
      </w:r>
      <w:r>
        <w:t xml:space="preserve">s </w:t>
      </w:r>
      <w:r w:rsidRPr="00C10A99">
        <w:t>goal. This helps to determine the most appropriate distribution of health services to promote better health outcomes for the population.</w:t>
      </w:r>
    </w:p>
    <w:p w:rsidR="0088150A" w:rsidRDefault="0088150A" w:rsidP="003608D7"/>
    <w:p w:rsidR="0088150A" w:rsidRDefault="0088150A" w:rsidP="003608D7">
      <w:r w:rsidRPr="00C10A99">
        <w:t>To help prepare the 2018 needs assessment, the Ministry contracted an independent research organisation</w:t>
      </w:r>
      <w:r>
        <w:t>,</w:t>
      </w:r>
      <w:r w:rsidRPr="00C10A99">
        <w:t xml:space="preserve"> Sapere Research Group, to review needs in the sector. The Sapere needs assessment report </w:t>
      </w:r>
      <w:r>
        <w:t>(</w:t>
      </w:r>
      <w:r w:rsidRPr="00B47AE6">
        <w:t xml:space="preserve">Rook </w:t>
      </w:r>
      <w:r>
        <w:t>et al</w:t>
      </w:r>
      <w:r w:rsidRPr="00B47AE6">
        <w:t xml:space="preserve"> 2018</w:t>
      </w:r>
      <w:r>
        <w:t xml:space="preserve">) </w:t>
      </w:r>
      <w:r w:rsidRPr="00C10A99">
        <w:t>is available on the Ministry</w:t>
      </w:r>
      <w:r w:rsidR="00A10EC0">
        <w:t>’</w:t>
      </w:r>
      <w:r w:rsidRPr="00C10A99">
        <w:t>s website</w:t>
      </w:r>
      <w:r w:rsidRPr="003608D7">
        <w:rPr>
          <w:rStyle w:val="FootnoteReference"/>
        </w:rPr>
        <w:footnoteReference w:id="7"/>
      </w:r>
      <w:r w:rsidRPr="00C10A99">
        <w:t xml:space="preserve"> together with a </w:t>
      </w:r>
      <w:r>
        <w:t>t</w:t>
      </w:r>
      <w:r w:rsidRPr="00C10A99">
        <w:t>able listing the report</w:t>
      </w:r>
      <w:r w:rsidR="00A10EC0">
        <w:t>’</w:t>
      </w:r>
      <w:r w:rsidRPr="00C10A99">
        <w:t>s recommendations and the Ministry</w:t>
      </w:r>
      <w:r w:rsidR="00A10EC0">
        <w:t>’</w:t>
      </w:r>
      <w:r w:rsidRPr="00C10A99">
        <w:t>s proposed response</w:t>
      </w:r>
      <w:r>
        <w:t xml:space="preserve"> to them. </w:t>
      </w:r>
      <w:r w:rsidRPr="00C10A99">
        <w:t>Together</w:t>
      </w:r>
      <w:r>
        <w:t>,</w:t>
      </w:r>
      <w:r w:rsidRPr="00C10A99">
        <w:t xml:space="preserve"> these </w:t>
      </w:r>
      <w:r>
        <w:t xml:space="preserve">documents </w:t>
      </w:r>
      <w:r w:rsidRPr="00C10A99">
        <w:t>form the Ministry</w:t>
      </w:r>
      <w:r w:rsidR="00A10EC0">
        <w:t>’</w:t>
      </w:r>
      <w:r w:rsidRPr="00C10A99">
        <w:t xml:space="preserve">s needs assessment that has informed </w:t>
      </w:r>
      <w:r>
        <w:t>the strategy</w:t>
      </w:r>
      <w:r w:rsidR="00A10EC0">
        <w:t>’</w:t>
      </w:r>
      <w:r>
        <w:t xml:space="preserve">s </w:t>
      </w:r>
      <w:r w:rsidRPr="00C10A99">
        <w:t>development</w:t>
      </w:r>
      <w:r>
        <w:t>.</w:t>
      </w:r>
    </w:p>
    <w:p w:rsidR="0088150A" w:rsidRDefault="0088150A" w:rsidP="003608D7"/>
    <w:p w:rsidR="0088150A" w:rsidRDefault="0088150A" w:rsidP="003608D7">
      <w:r w:rsidRPr="00C10A99">
        <w:t>In summary</w:t>
      </w:r>
      <w:r>
        <w:t>,</w:t>
      </w:r>
      <w:r w:rsidRPr="00C10A99">
        <w:t xml:space="preserve"> the needs assessment identifies that the key needs are much the same as they were when the </w:t>
      </w:r>
      <w:r>
        <w:t xml:space="preserve">Ministry developed the </w:t>
      </w:r>
      <w:r w:rsidRPr="00C10A99">
        <w:t>service plan for 2016/17 to 2018/19 in 2015. There is provision for dedicated Māori, Pacific and Asian services and activities</w:t>
      </w:r>
      <w:r>
        <w:t>,</w:t>
      </w:r>
      <w:r w:rsidRPr="00C10A99">
        <w:t xml:space="preserve"> as these a</w:t>
      </w:r>
      <w:r>
        <w:t>r</w:t>
      </w:r>
      <w:r w:rsidRPr="00C10A99">
        <w:t>e the most vulnerable</w:t>
      </w:r>
      <w:r>
        <w:t xml:space="preserve"> populations</w:t>
      </w:r>
      <w:r w:rsidRPr="00C10A99">
        <w:t xml:space="preserve">. The needs assessment </w:t>
      </w:r>
      <w:r>
        <w:t xml:space="preserve">also </w:t>
      </w:r>
      <w:r w:rsidRPr="00C10A99">
        <w:t>suggests there is value in strengthening research and evaluation and in piloting new initiatives to address harm caused by persistent and relapsed moderate</w:t>
      </w:r>
      <w:r>
        <w:t>-</w:t>
      </w:r>
      <w:r w:rsidR="00E93373">
        <w:t xml:space="preserve"> </w:t>
      </w:r>
      <w:r w:rsidRPr="00C10A99">
        <w:t>to</w:t>
      </w:r>
      <w:r w:rsidR="00E93373">
        <w:t xml:space="preserve"> </w:t>
      </w:r>
      <w:r w:rsidRPr="00C10A99">
        <w:t>high</w:t>
      </w:r>
      <w:r w:rsidR="00E93373">
        <w:t>-</w:t>
      </w:r>
      <w:r w:rsidRPr="00C10A99">
        <w:t xml:space="preserve">risk gambling. </w:t>
      </w:r>
      <w:r>
        <w:t xml:space="preserve">It addresses </w:t>
      </w:r>
      <w:r w:rsidRPr="00C10A99">
        <w:t>concerns about the growth of internet</w:t>
      </w:r>
      <w:r>
        <w:t>-</w:t>
      </w:r>
      <w:r w:rsidRPr="00C10A99">
        <w:t>based gambling and the convergence between gambling and gaming</w:t>
      </w:r>
      <w:r>
        <w:t>:</w:t>
      </w:r>
      <w:r w:rsidRPr="00C10A99">
        <w:t xml:space="preserve"> the Ministry proposes </w:t>
      </w:r>
      <w:r>
        <w:t>this as</w:t>
      </w:r>
      <w:r w:rsidRPr="00C10A99">
        <w:t xml:space="preserve"> a research priority</w:t>
      </w:r>
      <w:r>
        <w:t>.</w:t>
      </w:r>
    </w:p>
    <w:p w:rsidR="0088150A" w:rsidRPr="00806F2C" w:rsidRDefault="0088150A" w:rsidP="003608D7">
      <w:pPr>
        <w:pStyle w:val="Heading3"/>
        <w:numPr>
          <w:ilvl w:val="0"/>
          <w:numId w:val="0"/>
        </w:numPr>
      </w:pPr>
      <w:r w:rsidRPr="00806F2C">
        <w:t>Opportunities to learn</w:t>
      </w:r>
    </w:p>
    <w:p w:rsidR="0088150A" w:rsidRPr="00E312E8" w:rsidRDefault="0088150A" w:rsidP="003608D7">
      <w:r w:rsidRPr="00E312E8">
        <w:t>Overall, Sapere found that:</w:t>
      </w:r>
    </w:p>
    <w:p w:rsidR="0088150A" w:rsidRPr="00E411B9" w:rsidRDefault="0088150A" w:rsidP="003608D7">
      <w:pPr>
        <w:pStyle w:val="Quote"/>
        <w:rPr>
          <w:spacing w:val="-2"/>
        </w:rPr>
      </w:pPr>
      <w:r w:rsidRPr="00E411B9">
        <w:rPr>
          <w:spacing w:val="-2"/>
        </w:rPr>
        <w:t>There are many opportunities to learn from best practice within New Zealand and create pilot service models to address service gaps. Work is needed to improve inter-sectorial relationships and make best use of the skills available within the industry as a whole to support those harmed by gambling (Rook et al 2018).</w:t>
      </w:r>
    </w:p>
    <w:p w:rsidR="0088150A" w:rsidRDefault="0088150A" w:rsidP="00E411B9"/>
    <w:p w:rsidR="0088150A" w:rsidRDefault="0088150A" w:rsidP="00E411B9">
      <w:r w:rsidRPr="00C10A99">
        <w:t xml:space="preserve">In response, the Ministry notes the strategic goal for gambling harm reduction is </w:t>
      </w:r>
      <w:r w:rsidR="00A10EC0">
        <w:t>‘</w:t>
      </w:r>
      <w:r w:rsidRPr="00C10A99">
        <w:t>Government, the gambling sector,</w:t>
      </w:r>
      <w:r w:rsidRPr="00E411B9">
        <w:rPr>
          <w:rStyle w:val="FootnoteReference"/>
        </w:rPr>
        <w:footnoteReference w:id="8"/>
      </w:r>
      <w:r>
        <w:t xml:space="preserve"> </w:t>
      </w:r>
      <w:r w:rsidRPr="00C10A99">
        <w:t>communities</w:t>
      </w:r>
      <w:r w:rsidR="009C5BBD">
        <w:t>,</w:t>
      </w:r>
      <w:r w:rsidRPr="00C10A99">
        <w:t xml:space="preserve"> families</w:t>
      </w:r>
      <w:r w:rsidR="009C5BBD">
        <w:t xml:space="preserve"> and </w:t>
      </w:r>
      <w:r w:rsidRPr="00C10A99">
        <w:t>whānau working together to prevent and minimise gambling harm, and to reduce related health inequities</w:t>
      </w:r>
      <w:r w:rsidR="00A10EC0">
        <w:t>’</w:t>
      </w:r>
      <w:r>
        <w:t xml:space="preserve"> (Ministry of Health 2016)</w:t>
      </w:r>
      <w:r w:rsidRPr="00C10A99">
        <w:t>. The Ministry</w:t>
      </w:r>
      <w:r w:rsidR="00A10EC0">
        <w:t>’</w:t>
      </w:r>
      <w:r w:rsidRPr="00C10A99">
        <w:t>s statutory responsibility is to promote harm minimisation through an informed, research</w:t>
      </w:r>
      <w:r>
        <w:t>-</w:t>
      </w:r>
      <w:r w:rsidRPr="00C10A99">
        <w:t>based public health approach.</w:t>
      </w:r>
    </w:p>
    <w:p w:rsidR="0088150A" w:rsidRDefault="0088150A" w:rsidP="00E411B9"/>
    <w:p w:rsidR="0088150A" w:rsidRDefault="0088150A" w:rsidP="00E411B9">
      <w:r w:rsidRPr="00C10A99">
        <w:t>In collaboration with DIA, the Ministry aim</w:t>
      </w:r>
      <w:r>
        <w:t>s</w:t>
      </w:r>
      <w:r w:rsidRPr="00C10A99">
        <w:t xml:space="preserve"> to identify and use opportunities for diverse perspectives to </w:t>
      </w:r>
      <w:r>
        <w:t>clarify</w:t>
      </w:r>
      <w:r w:rsidRPr="00C10A99">
        <w:t xml:space="preserve"> what gambling harm minimisation means for different parts of the </w:t>
      </w:r>
      <w:r>
        <w:t xml:space="preserve">health </w:t>
      </w:r>
      <w:r w:rsidRPr="00C10A99">
        <w:t xml:space="preserve">sector and to work with the </w:t>
      </w:r>
      <w:r>
        <w:t xml:space="preserve">health </w:t>
      </w:r>
      <w:r w:rsidRPr="00C10A99">
        <w:t>sector to implement the strategy through the future service plan.</w:t>
      </w:r>
    </w:p>
    <w:p w:rsidR="0088150A" w:rsidRDefault="0088150A" w:rsidP="00E411B9"/>
    <w:p w:rsidR="0088150A" w:rsidRDefault="0088150A" w:rsidP="00E411B9">
      <w:r w:rsidRPr="00C10A99">
        <w:t>The proposed service plan provides more detail about the Ministry</w:t>
      </w:r>
      <w:r w:rsidR="00A10EC0">
        <w:t>’</w:t>
      </w:r>
      <w:r w:rsidRPr="00C10A99">
        <w:t>s response to the recommendations identified in the Sapere needs assessment</w:t>
      </w:r>
      <w:r>
        <w:t>.</w:t>
      </w:r>
    </w:p>
    <w:p w:rsidR="0088150A" w:rsidRDefault="0088150A" w:rsidP="00E411B9">
      <w:pPr>
        <w:pStyle w:val="Heading2"/>
      </w:pPr>
      <w:bookmarkStart w:id="26" w:name="_Toc517090891"/>
      <w:bookmarkStart w:id="27" w:name="_Toc530487399"/>
      <w:bookmarkStart w:id="28" w:name="_Toc9239594"/>
      <w:r w:rsidRPr="00C10A99">
        <w:t xml:space="preserve">Outcomes </w:t>
      </w:r>
      <w:r>
        <w:t>m</w:t>
      </w:r>
      <w:r w:rsidRPr="00C10A99">
        <w:t>onitoring</w:t>
      </w:r>
      <w:bookmarkEnd w:id="26"/>
      <w:bookmarkEnd w:id="27"/>
      <w:bookmarkEnd w:id="28"/>
    </w:p>
    <w:p w:rsidR="0088150A" w:rsidRDefault="0088150A" w:rsidP="00E411B9">
      <w:r w:rsidRPr="00E312E8">
        <w:t>The Ministry has</w:t>
      </w:r>
      <w:r w:rsidR="00652CE2">
        <w:t xml:space="preserve"> </w:t>
      </w:r>
      <w:r>
        <w:t xml:space="preserve">reviewed progress towards gambling harm reduction outcomes to assess </w:t>
      </w:r>
      <w:r w:rsidRPr="00E312E8">
        <w:t xml:space="preserve">what has been achieved over time in gambling harm minimisation. </w:t>
      </w:r>
      <w:r>
        <w:t xml:space="preserve">This review </w:t>
      </w:r>
      <w:r w:rsidRPr="00E312E8">
        <w:t>complement</w:t>
      </w:r>
      <w:r w:rsidR="00652CE2">
        <w:t xml:space="preserve">ed </w:t>
      </w:r>
      <w:r w:rsidRPr="00E312E8">
        <w:t xml:space="preserve">the needs assessment </w:t>
      </w:r>
      <w:r>
        <w:t xml:space="preserve">discussed above and </w:t>
      </w:r>
      <w:r w:rsidRPr="00E312E8">
        <w:t>provide</w:t>
      </w:r>
      <w:r>
        <w:t>s</w:t>
      </w:r>
      <w:r w:rsidRPr="00E312E8">
        <w:t xml:space="preserve"> information about </w:t>
      </w:r>
      <w:r>
        <w:t>the nature of gambling harm in New Zealand and changes over time.</w:t>
      </w:r>
    </w:p>
    <w:p w:rsidR="0088150A" w:rsidRPr="00E312E8" w:rsidRDefault="0088150A" w:rsidP="00E411B9"/>
    <w:p w:rsidR="0088150A" w:rsidRPr="003C32A5" w:rsidRDefault="0088150A" w:rsidP="00E411B9">
      <w:pPr>
        <w:rPr>
          <w:noProof/>
        </w:rPr>
      </w:pPr>
      <w:r w:rsidRPr="003C32A5">
        <w:t xml:space="preserve">Research shows that while the proportion of the population at risk of gambling harm, as measured by the PGSI is at the lowest levels seen for 25 years, the level of harm in the overall population has remained relatively stable for the last five to seven years (at about 5%) (Abbott et al 2018; </w:t>
      </w:r>
      <w:r w:rsidRPr="003C32A5">
        <w:rPr>
          <w:noProof/>
        </w:rPr>
        <w:t xml:space="preserve">Thimasarn-Anwar et al 2017). </w:t>
      </w:r>
      <w:r w:rsidRPr="003C32A5">
        <w:t>This plateau effect has also been observed overseas (Abbott 2017</w:t>
      </w:r>
      <w:r w:rsidRPr="003C32A5">
        <w:rPr>
          <w:noProof/>
        </w:rPr>
        <w:t>).</w:t>
      </w:r>
    </w:p>
    <w:p w:rsidR="0088150A" w:rsidRPr="003C32A5" w:rsidRDefault="0088150A" w:rsidP="00E411B9">
      <w:pPr>
        <w:rPr>
          <w:noProof/>
        </w:rPr>
      </w:pPr>
    </w:p>
    <w:p w:rsidR="0088150A" w:rsidRPr="003C32A5" w:rsidRDefault="0088150A" w:rsidP="00E411B9">
      <w:r w:rsidRPr="003C32A5">
        <w:t>Similarly, the number of people presenting for gambling support and treatment has not increased in line with population growth. Yet this figure represents only a small fraction of the estimated numbers affected by gambling harm. In fact</w:t>
      </w:r>
      <w:r w:rsidR="00361B49">
        <w:t>,</w:t>
      </w:r>
      <w:r w:rsidRPr="003C32A5">
        <w:t xml:space="preserve"> the overall number of </w:t>
      </w:r>
      <w:r w:rsidR="00A10EC0">
        <w:t>‘</w:t>
      </w:r>
      <w:r w:rsidRPr="003C32A5">
        <w:t>at risk</w:t>
      </w:r>
      <w:r w:rsidR="00A10EC0">
        <w:t>’</w:t>
      </w:r>
      <w:r w:rsidRPr="003C32A5">
        <w:t xml:space="preserve"> gamblers in the population has increased in line with population growth.</w:t>
      </w:r>
    </w:p>
    <w:p w:rsidR="0088150A" w:rsidRPr="003C32A5" w:rsidRDefault="0088150A" w:rsidP="00E411B9"/>
    <w:p w:rsidR="0088150A" w:rsidRDefault="0088150A" w:rsidP="00E411B9">
      <w:r w:rsidRPr="003C32A5">
        <w:t>Importantly, while inequalities between population groups by age, social deprivation, gender and ethnicity have reduced in absolute terms, in relative terms, disparities in exposure to gambling and experience of gambling</w:t>
      </w:r>
      <w:r w:rsidR="00200481">
        <w:t>-</w:t>
      </w:r>
      <w:r w:rsidRPr="003C32A5">
        <w:t>related harm persist and have been relatively static over the past five years.</w:t>
      </w:r>
    </w:p>
    <w:p w:rsidR="0088150A" w:rsidRPr="003B3FDE" w:rsidRDefault="0088150A" w:rsidP="00E411B9"/>
    <w:p w:rsidR="0088150A" w:rsidRDefault="0088150A" w:rsidP="00E411B9">
      <w:pPr>
        <w:pStyle w:val="Heading3"/>
        <w:numPr>
          <w:ilvl w:val="0"/>
          <w:numId w:val="0"/>
        </w:numPr>
      </w:pPr>
      <w:r>
        <w:t>A refocusing and revitalisation of activities is warranted</w:t>
      </w:r>
    </w:p>
    <w:p w:rsidR="0088150A" w:rsidRDefault="0088150A" w:rsidP="00E411B9">
      <w:r>
        <w:t>T</w:t>
      </w:r>
      <w:r w:rsidRPr="00C10A99">
        <w:t xml:space="preserve">he </w:t>
      </w:r>
      <w:r>
        <w:t>o</w:t>
      </w:r>
      <w:r w:rsidRPr="00C10A99">
        <w:t xml:space="preserve">utcomes </w:t>
      </w:r>
      <w:r>
        <w:t xml:space="preserve">review and the needs assessment together suggest that, while </w:t>
      </w:r>
      <w:r w:rsidRPr="00C10A99">
        <w:t xml:space="preserve">there has been some success in reducing gambling harm </w:t>
      </w:r>
      <w:r>
        <w:t>since the first strategy in 2005, in the past few years, the number of people affected by gambling harm has been growing. We need to refocus and revitalise g</w:t>
      </w:r>
      <w:r w:rsidRPr="00C10A99">
        <w:t xml:space="preserve">ambling harm </w:t>
      </w:r>
      <w:r>
        <w:t xml:space="preserve">responses </w:t>
      </w:r>
      <w:r w:rsidR="00652CE2">
        <w:t xml:space="preserve">in the </w:t>
      </w:r>
      <w:r w:rsidRPr="00C10A99">
        <w:t>service plan</w:t>
      </w:r>
      <w:r>
        <w:t>s</w:t>
      </w:r>
      <w:r w:rsidRPr="00C10A99">
        <w:t xml:space="preserve"> if </w:t>
      </w:r>
      <w:r>
        <w:t xml:space="preserve">we are to make </w:t>
      </w:r>
      <w:r w:rsidRPr="00C10A99">
        <w:t>further gains in reduc</w:t>
      </w:r>
      <w:r>
        <w:t>ing</w:t>
      </w:r>
      <w:r w:rsidRPr="00C10A99">
        <w:t xml:space="preserve"> gambling harm and </w:t>
      </w:r>
      <w:r>
        <w:t xml:space="preserve">health </w:t>
      </w:r>
      <w:r w:rsidRPr="00C10A99">
        <w:t>inequalities and inequity in the experience of gambling harm by a range of population groups</w:t>
      </w:r>
      <w:r w:rsidR="000D28F5">
        <w:t xml:space="preserve">, </w:t>
      </w:r>
      <w:r w:rsidR="000D28F5" w:rsidRPr="00EC3578">
        <w:t>particularly</w:t>
      </w:r>
      <w:r w:rsidRPr="00EC3578">
        <w:t xml:space="preserve"> Māori and Pacific peoples</w:t>
      </w:r>
      <w:r w:rsidRPr="00C10A99">
        <w:t>.</w:t>
      </w:r>
    </w:p>
    <w:p w:rsidR="0088150A" w:rsidRDefault="0088150A" w:rsidP="00E411B9"/>
    <w:p w:rsidR="0088150A" w:rsidRPr="007269AE" w:rsidRDefault="0088150A" w:rsidP="00E411B9">
      <w:pPr>
        <w:pStyle w:val="BoxHeading"/>
      </w:pPr>
      <w:r w:rsidRPr="007269AE">
        <w:lastRenderedPageBreak/>
        <w:t xml:space="preserve">Inequalities and </w:t>
      </w:r>
      <w:r>
        <w:t>i</w:t>
      </w:r>
      <w:r w:rsidRPr="007269AE">
        <w:t xml:space="preserve">nequity in </w:t>
      </w:r>
      <w:r>
        <w:t>h</w:t>
      </w:r>
      <w:r w:rsidRPr="007269AE">
        <w:t>ealth</w:t>
      </w:r>
    </w:p>
    <w:p w:rsidR="00290BA6" w:rsidRDefault="00290BA6" w:rsidP="00E411B9">
      <w:pPr>
        <w:pStyle w:val="Box"/>
        <w:rPr>
          <w:rFonts w:cs="Segoe UI"/>
          <w:color w:val="000000"/>
          <w:sz w:val="20"/>
          <w:lang w:eastAsia="en-NZ"/>
        </w:rPr>
      </w:pPr>
      <w:r>
        <w:rPr>
          <w:rFonts w:cs="Segoe UI"/>
          <w:color w:val="000000"/>
          <w:sz w:val="20"/>
          <w:lang w:eastAsia="en-NZ"/>
        </w:rPr>
        <w:t>Some people experience differences in health that are not only avoidable but</w:t>
      </w:r>
      <w:r w:rsidR="005A4E71">
        <w:rPr>
          <w:rFonts w:cs="Segoe UI"/>
          <w:color w:val="000000"/>
          <w:sz w:val="20"/>
          <w:lang w:eastAsia="en-NZ"/>
        </w:rPr>
        <w:t xml:space="preserve"> also</w:t>
      </w:r>
      <w:r>
        <w:rPr>
          <w:rFonts w:cs="Segoe UI"/>
          <w:color w:val="000000"/>
          <w:sz w:val="20"/>
          <w:lang w:eastAsia="en-NZ"/>
        </w:rPr>
        <w:t xml:space="preserve"> unfair and unjust.</w:t>
      </w:r>
      <w:r w:rsidRPr="00290BA6">
        <w:rPr>
          <w:rFonts w:cs="Segoe UI"/>
          <w:color w:val="000000"/>
          <w:sz w:val="20"/>
          <w:lang w:eastAsia="en-NZ"/>
        </w:rPr>
        <w:t xml:space="preserve"> </w:t>
      </w:r>
      <w:r>
        <w:rPr>
          <w:rFonts w:cs="Segoe UI"/>
          <w:color w:val="000000"/>
          <w:sz w:val="20"/>
          <w:lang w:eastAsia="en-NZ"/>
        </w:rPr>
        <w:t xml:space="preserve">Equity recognises </w:t>
      </w:r>
      <w:r w:rsidR="005A4E71">
        <w:rPr>
          <w:rFonts w:cs="Segoe UI"/>
          <w:color w:val="000000"/>
          <w:sz w:val="20"/>
          <w:lang w:eastAsia="en-NZ"/>
        </w:rPr>
        <w:t xml:space="preserve">that </w:t>
      </w:r>
      <w:r>
        <w:rPr>
          <w:rFonts w:cs="Segoe UI"/>
          <w:color w:val="000000"/>
          <w:sz w:val="20"/>
          <w:lang w:eastAsia="en-NZ"/>
        </w:rPr>
        <w:t>people with different levels of advantage require different approaches and resources to get equitable health outcomes.</w:t>
      </w:r>
    </w:p>
    <w:p w:rsidR="0088150A" w:rsidRDefault="0088150A" w:rsidP="00E411B9">
      <w:pPr>
        <w:pStyle w:val="Box"/>
        <w:rPr>
          <w:color w:val="000000"/>
        </w:rPr>
      </w:pPr>
      <w:r>
        <w:t>We usually refer to d</w:t>
      </w:r>
      <w:r w:rsidRPr="00C10A99">
        <w:t>ifferences in health experience occur</w:t>
      </w:r>
      <w:r>
        <w:t>ring</w:t>
      </w:r>
      <w:r w:rsidRPr="00C10A99">
        <w:t xml:space="preserve"> between population groups</w:t>
      </w:r>
      <w:r>
        <w:t xml:space="preserve"> </w:t>
      </w:r>
      <w:r w:rsidRPr="00C10A99">
        <w:t xml:space="preserve">as </w:t>
      </w:r>
      <w:r w:rsidR="00A10EC0">
        <w:t>‘</w:t>
      </w:r>
      <w:r w:rsidRPr="00C10A99">
        <w:t>health inequalit</w:t>
      </w:r>
      <w:r>
        <w:t>ies</w:t>
      </w:r>
      <w:r w:rsidR="00A10EC0">
        <w:t>’</w:t>
      </w:r>
      <w:r w:rsidRPr="00C10A99">
        <w:t xml:space="preserve">. A </w:t>
      </w:r>
      <w:r w:rsidR="00A10EC0">
        <w:t>‘</w:t>
      </w:r>
      <w:r w:rsidRPr="00C10A99">
        <w:t xml:space="preserve">health </w:t>
      </w:r>
      <w:r w:rsidRPr="00C10A99">
        <w:rPr>
          <w:color w:val="000000"/>
        </w:rPr>
        <w:t>inequity</w:t>
      </w:r>
      <w:r w:rsidR="00A10EC0">
        <w:rPr>
          <w:color w:val="000000"/>
        </w:rPr>
        <w:t>’</w:t>
      </w:r>
      <w:r w:rsidRPr="00C10A99">
        <w:rPr>
          <w:color w:val="000000"/>
        </w:rPr>
        <w:t xml:space="preserve"> is </w:t>
      </w:r>
      <w:r>
        <w:rPr>
          <w:color w:val="000000"/>
        </w:rPr>
        <w:t xml:space="preserve">an </w:t>
      </w:r>
      <w:r w:rsidRPr="00C10A99">
        <w:rPr>
          <w:color w:val="000000"/>
        </w:rPr>
        <w:t xml:space="preserve">inequality </w:t>
      </w:r>
      <w:r>
        <w:rPr>
          <w:color w:val="000000"/>
        </w:rPr>
        <w:t xml:space="preserve">that we can </w:t>
      </w:r>
      <w:r w:rsidRPr="00C10A99">
        <w:rPr>
          <w:color w:val="000000"/>
        </w:rPr>
        <w:t>attribute to social, cultural and economic factors</w:t>
      </w:r>
      <w:r>
        <w:rPr>
          <w:color w:val="000000"/>
        </w:rPr>
        <w:t>,</w:t>
      </w:r>
      <w:r w:rsidRPr="00C10A99">
        <w:rPr>
          <w:color w:val="000000"/>
        </w:rPr>
        <w:t xml:space="preserve"> rather than biomedical ones.</w:t>
      </w:r>
      <w:r w:rsidR="00290BA6" w:rsidRPr="00290BA6">
        <w:rPr>
          <w:rFonts w:cs="Segoe UI"/>
          <w:color w:val="000000"/>
          <w:sz w:val="20"/>
          <w:lang w:eastAsia="en-NZ"/>
        </w:rPr>
        <w:t xml:space="preserve"> </w:t>
      </w:r>
    </w:p>
    <w:p w:rsidR="0088150A" w:rsidRDefault="0088150A" w:rsidP="00E411B9">
      <w:pPr>
        <w:pStyle w:val="Box"/>
      </w:pPr>
      <w:r>
        <w:t>I</w:t>
      </w:r>
      <w:r w:rsidRPr="00C10A99">
        <w:t xml:space="preserve">nequalities </w:t>
      </w:r>
      <w:r>
        <w:t xml:space="preserve">and inequity </w:t>
      </w:r>
      <w:r w:rsidRPr="00C10A99">
        <w:t xml:space="preserve">in health occur between groups because of a range of </w:t>
      </w:r>
      <w:r>
        <w:t xml:space="preserve">well-recognised </w:t>
      </w:r>
      <w:r w:rsidRPr="00C10A99">
        <w:t>socioeconomic, cultural and biological factors. The most common factors are sex, age, social deprivation, ethnicity and education.</w:t>
      </w:r>
    </w:p>
    <w:p w:rsidR="0088150A" w:rsidRDefault="0088150A" w:rsidP="00E411B9"/>
    <w:p w:rsidR="0088150A" w:rsidRPr="00EC3578" w:rsidRDefault="0088150A" w:rsidP="00E411B9">
      <w:r w:rsidRPr="00C10A99">
        <w:t xml:space="preserve">Similarly, </w:t>
      </w:r>
      <w:r w:rsidRPr="00EC3578">
        <w:t>the components of the service plan for the next three years focus on each service area (public health, intervention services</w:t>
      </w:r>
      <w:r w:rsidR="00361B49">
        <w:t>,</w:t>
      </w:r>
      <w:r w:rsidRPr="00EC3578">
        <w:t xml:space="preserve"> and research and evaluation) to support the plan</w:t>
      </w:r>
      <w:r w:rsidR="00A10EC0">
        <w:t>’</w:t>
      </w:r>
      <w:r w:rsidRPr="00EC3578">
        <w:t>s key actions and priorities.</w:t>
      </w:r>
    </w:p>
    <w:p w:rsidR="0088150A" w:rsidRDefault="0088150A" w:rsidP="00E411B9"/>
    <w:p w:rsidR="0088150A" w:rsidRDefault="0088150A" w:rsidP="00E411B9">
      <w:r w:rsidRPr="00C10A99">
        <w:t>In addition, given the long</w:t>
      </w:r>
      <w:r>
        <w:t>-</w:t>
      </w:r>
      <w:r w:rsidRPr="00C10A99">
        <w:t xml:space="preserve">term patterns in gambling participation and harm that have been reported through the HLS, the Ministry </w:t>
      </w:r>
      <w:r w:rsidR="00652CE2">
        <w:t xml:space="preserve">intends </w:t>
      </w:r>
      <w:r w:rsidRPr="00C10A99">
        <w:t xml:space="preserve">that </w:t>
      </w:r>
      <w:r>
        <w:t>o</w:t>
      </w:r>
      <w:r w:rsidRPr="00C10A99">
        <w:t xml:space="preserve">utcomes reporting on the </w:t>
      </w:r>
      <w:r>
        <w:t>s</w:t>
      </w:r>
      <w:r w:rsidRPr="00C10A99">
        <w:t>trategy should occur every three years</w:t>
      </w:r>
      <w:r>
        <w:t xml:space="preserve">, to better </w:t>
      </w:r>
      <w:r w:rsidRPr="00C10A99">
        <w:t>inform the service plan.</w:t>
      </w:r>
    </w:p>
    <w:p w:rsidR="0088150A" w:rsidRPr="00C10A99" w:rsidRDefault="0088150A" w:rsidP="00E411B9"/>
    <w:p w:rsidR="00290BA6" w:rsidRDefault="00290BA6">
      <w:pPr>
        <w:rPr>
          <w:b/>
          <w:color w:val="0A6AB4"/>
          <w:spacing w:val="-5"/>
          <w:sz w:val="48"/>
        </w:rPr>
      </w:pPr>
      <w:bookmarkStart w:id="29" w:name="_Toc517090892"/>
      <w:bookmarkStart w:id="30" w:name="_Toc530487400"/>
      <w:r>
        <w:br w:type="page"/>
      </w:r>
    </w:p>
    <w:p w:rsidR="0088150A" w:rsidRPr="00C10A99" w:rsidRDefault="0088150A" w:rsidP="00E411B9">
      <w:pPr>
        <w:pStyle w:val="Heading2"/>
      </w:pPr>
      <w:bookmarkStart w:id="31" w:name="_Toc9239595"/>
      <w:r w:rsidRPr="00C10A99">
        <w:lastRenderedPageBreak/>
        <w:t>A population</w:t>
      </w:r>
      <w:r>
        <w:t>-</w:t>
      </w:r>
      <w:r w:rsidRPr="00C10A99">
        <w:t>based public health approach</w:t>
      </w:r>
      <w:bookmarkEnd w:id="29"/>
      <w:bookmarkEnd w:id="30"/>
      <w:bookmarkEnd w:id="31"/>
    </w:p>
    <w:p w:rsidR="0088150A" w:rsidRPr="00E411B9" w:rsidRDefault="0088150A" w:rsidP="00E411B9">
      <w:pPr>
        <w:rPr>
          <w:spacing w:val="-2"/>
        </w:rPr>
      </w:pPr>
      <w:r w:rsidRPr="00E411B9">
        <w:rPr>
          <w:spacing w:val="-2"/>
        </w:rPr>
        <w:t>The Act recognises the importance of prevention and a public health focus in addressing gambling harm. The Ministry proposes to continue using the continuum-of-harm approach, which aligns a spectrum of gambling behaviour with a harm reduction framework, as first developed by Korn and Shaffer (1999).</w:t>
      </w:r>
    </w:p>
    <w:p w:rsidR="0088150A" w:rsidRDefault="0088150A" w:rsidP="00E411B9"/>
    <w:p w:rsidR="0088150A" w:rsidRDefault="0088150A" w:rsidP="00E411B9">
      <w:r w:rsidRPr="00C10A99">
        <w:t xml:space="preserve">This approach recognises that people experience varying levels of harm from gambling. The framework, represented in </w:t>
      </w:r>
      <w:r w:rsidRPr="009847A0">
        <w:t xml:space="preserve">Figure </w:t>
      </w:r>
      <w:r>
        <w:t>2</w:t>
      </w:r>
      <w:r w:rsidRPr="00C10A99">
        <w:rPr>
          <w:b/>
        </w:rPr>
        <w:t xml:space="preserve"> </w:t>
      </w:r>
      <w:r w:rsidRPr="00C10A99">
        <w:t>below</w:t>
      </w:r>
      <w:r>
        <w:t>,</w:t>
      </w:r>
      <w:r w:rsidRPr="00C10A99">
        <w:t xml:space="preserve"> bring</w:t>
      </w:r>
      <w:r>
        <w:t>s</w:t>
      </w:r>
      <w:r w:rsidRPr="00C10A99">
        <w:t xml:space="preserve"> together the ideas of different levels of individual gambling behaviour</w:t>
      </w:r>
      <w:r>
        <w:t>,</w:t>
      </w:r>
      <w:r w:rsidRPr="00C10A99">
        <w:t xml:space="preserve"> associated levels of harm and types of health intervention.</w:t>
      </w:r>
    </w:p>
    <w:p w:rsidR="0088150A" w:rsidRDefault="0088150A" w:rsidP="00E411B9"/>
    <w:p w:rsidR="0088150A" w:rsidRDefault="0088150A" w:rsidP="00E411B9">
      <w:r>
        <w:t>The approach describes levels of g</w:t>
      </w:r>
      <w:r w:rsidRPr="00C10A99">
        <w:t xml:space="preserve">ambling behaviour and associated harm </w:t>
      </w:r>
      <w:r>
        <w:t>as non-problem</w:t>
      </w:r>
      <w:r w:rsidRPr="00C10A99">
        <w:t xml:space="preserve"> </w:t>
      </w:r>
      <w:r>
        <w:t>(</w:t>
      </w:r>
      <w:r w:rsidRPr="00C10A99">
        <w:t>none</w:t>
      </w:r>
      <w:r>
        <w:t>)</w:t>
      </w:r>
      <w:r w:rsidRPr="00C10A99">
        <w:t>, mild</w:t>
      </w:r>
      <w:r>
        <w:t xml:space="preserve"> and</w:t>
      </w:r>
      <w:r w:rsidRPr="00C10A99">
        <w:t xml:space="preserve"> moderate </w:t>
      </w:r>
      <w:r>
        <w:t>through to</w:t>
      </w:r>
      <w:r w:rsidRPr="00C10A99">
        <w:t xml:space="preserve"> severe (problem) gambling. </w:t>
      </w:r>
      <w:r>
        <w:t xml:space="preserve">These categories can be overlaid with </w:t>
      </w:r>
      <w:r w:rsidRPr="00C10A99">
        <w:t>the three broad categories of population public health intervention</w:t>
      </w:r>
      <w:r>
        <w:t>s:</w:t>
      </w:r>
      <w:r w:rsidRPr="00C10A99">
        <w:t xml:space="preserve"> </w:t>
      </w:r>
      <w:r w:rsidR="00A10EC0">
        <w:t>‘</w:t>
      </w:r>
      <w:r w:rsidRPr="00C10A99">
        <w:t>primary</w:t>
      </w:r>
      <w:r w:rsidR="00A10EC0">
        <w:t>’</w:t>
      </w:r>
      <w:r w:rsidRPr="00C10A99">
        <w:t xml:space="preserve">, </w:t>
      </w:r>
      <w:r w:rsidR="00A10EC0">
        <w:t>‘</w:t>
      </w:r>
      <w:r w:rsidRPr="00C10A99">
        <w:t>secondary</w:t>
      </w:r>
      <w:r w:rsidR="00A10EC0">
        <w:t>’</w:t>
      </w:r>
      <w:r w:rsidRPr="00C10A99">
        <w:t xml:space="preserve"> and </w:t>
      </w:r>
      <w:r w:rsidR="00A10EC0">
        <w:t>‘</w:t>
      </w:r>
      <w:r w:rsidRPr="00C10A99">
        <w:t>tertiary</w:t>
      </w:r>
      <w:r w:rsidR="00A10EC0">
        <w:t>’</w:t>
      </w:r>
      <w:r w:rsidRPr="00C10A99">
        <w:t xml:space="preserve"> interventions. </w:t>
      </w:r>
      <w:r>
        <w:t>Figure 2 also shows e</w:t>
      </w:r>
      <w:r w:rsidRPr="00C10A99">
        <w:t xml:space="preserve">xamples of </w:t>
      </w:r>
      <w:r>
        <w:t>the related</w:t>
      </w:r>
      <w:r w:rsidRPr="00C10A99">
        <w:t xml:space="preserve"> type</w:t>
      </w:r>
      <w:r>
        <w:t>s</w:t>
      </w:r>
      <w:r w:rsidRPr="00C10A99">
        <w:t xml:space="preserve"> of activity </w:t>
      </w:r>
      <w:r>
        <w:t>that have</w:t>
      </w:r>
      <w:r w:rsidRPr="00C10A99">
        <w:t xml:space="preserve"> been delivered through </w:t>
      </w:r>
      <w:r>
        <w:t>each</w:t>
      </w:r>
      <w:r w:rsidRPr="00C10A99">
        <w:t xml:space="preserve"> current </w:t>
      </w:r>
      <w:r>
        <w:t>s</w:t>
      </w:r>
      <w:r w:rsidRPr="00C10A99">
        <w:t xml:space="preserve">ervice </w:t>
      </w:r>
      <w:r>
        <w:t>p</w:t>
      </w:r>
      <w:r w:rsidRPr="00C10A99">
        <w:t>lan.</w:t>
      </w:r>
    </w:p>
    <w:p w:rsidR="0088150A" w:rsidRDefault="0088150A" w:rsidP="00E411B9"/>
    <w:p w:rsidR="0088150A" w:rsidRDefault="0088150A" w:rsidP="00E411B9">
      <w:r>
        <w:t>The c</w:t>
      </w:r>
      <w:r w:rsidRPr="00C10A99">
        <w:t>ategories of behaviour and harm have been aligned with the PGSI</w:t>
      </w:r>
      <w:r>
        <w:t xml:space="preserve">, which the </w:t>
      </w:r>
      <w:r w:rsidRPr="00C10A99">
        <w:t>Minist</w:t>
      </w:r>
      <w:r w:rsidRPr="00E411B9">
        <w:t>r</w:t>
      </w:r>
      <w:r w:rsidRPr="00C10A99">
        <w:t xml:space="preserve">y uses to </w:t>
      </w:r>
      <w:r w:rsidRPr="00E411B9">
        <w:t>monitor the level of harmful gambling behaviour occurring in the New Zealand population</w:t>
      </w:r>
      <w:r w:rsidRPr="00C10A99">
        <w:t>.</w:t>
      </w:r>
      <w:r w:rsidRPr="00E411B9">
        <w:rPr>
          <w:rStyle w:val="FootnoteReference"/>
        </w:rPr>
        <w:footnoteReference w:id="9"/>
      </w:r>
      <w:r w:rsidRPr="00C10A99">
        <w:t xml:space="preserve"> Figure </w:t>
      </w:r>
      <w:r>
        <w:t xml:space="preserve">2 includes the </w:t>
      </w:r>
      <w:r w:rsidRPr="00C10A99">
        <w:t xml:space="preserve">most </w:t>
      </w:r>
      <w:r>
        <w:t>robust</w:t>
      </w:r>
      <w:r w:rsidRPr="00C10A99">
        <w:t xml:space="preserve"> estimates of the harm occurring </w:t>
      </w:r>
      <w:r>
        <w:t>for each category. The estimates are from a statistical meta-analysis of the pooled responses to the PGSI questions in the 2012, 2014 and 2016 HLS.</w:t>
      </w:r>
      <w:r w:rsidRPr="00C10A99">
        <w:t xml:space="preserve"> It is important to note that the PGSI measures the level of reported harm that is associated with the individual gambler and their immediately affected </w:t>
      </w:r>
      <w:r w:rsidR="00A10EC0">
        <w:t>‘</w:t>
      </w:r>
      <w:r w:rsidRPr="00C10A99">
        <w:t>others</w:t>
      </w:r>
      <w:r w:rsidR="00A10EC0">
        <w:t>’</w:t>
      </w:r>
      <w:r w:rsidRPr="00C10A99">
        <w:t xml:space="preserve"> (</w:t>
      </w:r>
      <w:r>
        <w:t xml:space="preserve">eg, </w:t>
      </w:r>
      <w:r w:rsidRPr="00C10A99">
        <w:t>family</w:t>
      </w:r>
      <w:r w:rsidR="00281081">
        <w:t xml:space="preserve">, </w:t>
      </w:r>
      <w:r w:rsidRPr="00C10A99">
        <w:t>whānau</w:t>
      </w:r>
      <w:r>
        <w:t xml:space="preserve">, </w:t>
      </w:r>
      <w:r w:rsidRPr="00C10A99">
        <w:t>employer</w:t>
      </w:r>
      <w:r>
        <w:t>s</w:t>
      </w:r>
      <w:r w:rsidRPr="00C10A99">
        <w:t xml:space="preserve"> </w:t>
      </w:r>
      <w:r>
        <w:t xml:space="preserve">and </w:t>
      </w:r>
      <w:r w:rsidRPr="00C10A99">
        <w:t>community group</w:t>
      </w:r>
      <w:r>
        <w:t>s</w:t>
      </w:r>
      <w:r w:rsidRPr="00C10A99">
        <w:t>).</w:t>
      </w:r>
    </w:p>
    <w:p w:rsidR="0088150A" w:rsidRDefault="0088150A" w:rsidP="00E411B9"/>
    <w:p w:rsidR="0088150A" w:rsidRPr="00947137" w:rsidRDefault="0088150A" w:rsidP="00E411B9">
      <w:r w:rsidRPr="00947137">
        <w:t>While it is necessary to address the needs of those who have already developed a serious gambling problem and who need specialist help, early prevention interventions can help individuals and their family</w:t>
      </w:r>
      <w:r w:rsidR="00281081">
        <w:t xml:space="preserve">, </w:t>
      </w:r>
      <w:r w:rsidRPr="00947137">
        <w:t>whānau and communities avoid developing more risky gambling behaviours and associated harm.</w:t>
      </w:r>
    </w:p>
    <w:p w:rsidR="0088150A" w:rsidRPr="00947137" w:rsidRDefault="0088150A" w:rsidP="00E411B9"/>
    <w:p w:rsidR="0088150A" w:rsidRPr="00947137" w:rsidRDefault="0088150A" w:rsidP="00E411B9">
      <w:r w:rsidRPr="00947137">
        <w:t>This approach aligns closely with other public health programmes in the mental health and addictions areas of alcohol, tobacco and drug use, and family</w:t>
      </w:r>
      <w:r w:rsidR="00361B49">
        <w:t>,</w:t>
      </w:r>
      <w:r w:rsidRPr="00947137">
        <w:t xml:space="preserve"> whānau and partner violence prevention.</w:t>
      </w:r>
    </w:p>
    <w:p w:rsidR="0088150A" w:rsidRDefault="0088150A" w:rsidP="00E411B9"/>
    <w:p w:rsidR="00E411B9" w:rsidRDefault="00E411B9" w:rsidP="00E411B9">
      <w:pPr>
        <w:pStyle w:val="Figure"/>
        <w:sectPr w:rsidR="00E411B9" w:rsidSect="007A2C74">
          <w:headerReference w:type="even" r:id="rId25"/>
          <w:headerReference w:type="default" r:id="rId26"/>
          <w:footerReference w:type="even" r:id="rId27"/>
          <w:footerReference w:type="default" r:id="rId28"/>
          <w:headerReference w:type="first" r:id="rId29"/>
          <w:pgSz w:w="11907" w:h="16834" w:code="9"/>
          <w:pgMar w:top="1418" w:right="1701" w:bottom="1134" w:left="1843" w:header="284" w:footer="425" w:gutter="284"/>
          <w:pgNumType w:start="1"/>
          <w:cols w:space="720"/>
        </w:sectPr>
      </w:pPr>
      <w:bookmarkStart w:id="32" w:name="_Toc529428317"/>
    </w:p>
    <w:p w:rsidR="0088150A" w:rsidRPr="00823D9A" w:rsidRDefault="0088150A" w:rsidP="005A26D2">
      <w:pPr>
        <w:pStyle w:val="Figure"/>
      </w:pPr>
      <w:bookmarkStart w:id="33" w:name="_Toc4156644"/>
      <w:bookmarkStart w:id="34" w:name="_Toc7680398"/>
      <w:r w:rsidRPr="00227DDB">
        <w:lastRenderedPageBreak/>
        <w:t xml:space="preserve">Figure </w:t>
      </w:r>
      <w:r w:rsidR="00762F08">
        <w:rPr>
          <w:noProof/>
        </w:rPr>
        <w:fldChar w:fldCharType="begin"/>
      </w:r>
      <w:r w:rsidR="00762F08">
        <w:rPr>
          <w:noProof/>
        </w:rPr>
        <w:instrText xml:space="preserve"> SEQ Figure \* ARABIC </w:instrText>
      </w:r>
      <w:r w:rsidR="00762F08">
        <w:rPr>
          <w:noProof/>
        </w:rPr>
        <w:fldChar w:fldCharType="separate"/>
      </w:r>
      <w:r w:rsidR="0002049A">
        <w:rPr>
          <w:noProof/>
        </w:rPr>
        <w:t>2</w:t>
      </w:r>
      <w:r w:rsidR="00762F08">
        <w:rPr>
          <w:noProof/>
        </w:rPr>
        <w:fldChar w:fldCharType="end"/>
      </w:r>
      <w:r w:rsidRPr="00BC3003">
        <w:t xml:space="preserve">: </w:t>
      </w:r>
      <w:r w:rsidRPr="00823D9A">
        <w:t>Gambling behaviour and harm: the continuum of prevention and harm reduction</w:t>
      </w:r>
      <w:bookmarkEnd w:id="32"/>
      <w:bookmarkEnd w:id="33"/>
      <w:bookmarkEnd w:id="34"/>
    </w:p>
    <w:p w:rsidR="0088150A" w:rsidRPr="00BC3003" w:rsidRDefault="0088150A" w:rsidP="00E411B9">
      <w:bookmarkStart w:id="35" w:name="_Toc516835895"/>
      <w:bookmarkStart w:id="36" w:name="_Toc516836143"/>
      <w:r>
        <w:rPr>
          <w:noProof/>
          <w:lang w:eastAsia="en-NZ"/>
        </w:rPr>
        <w:drawing>
          <wp:inline distT="0" distB="0" distL="0" distR="0" wp14:anchorId="6AEFAFA6" wp14:editId="083268F2">
            <wp:extent cx="9196151" cy="5311832"/>
            <wp:effectExtent l="0" t="0" r="5080" b="3175"/>
            <wp:docPr id="13" name="Picture 13" descr="Diagram showing the continuum of gambling behaviour and harm from no gambling/no harm to severe gambling/ severe harm and the continuum of intervention from public health and primary care to intensive tertiary level " title="Figure 2: Gambling behaviour and harm: the continuum of prevention and harm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apted Korn Shaffer diagram (JW v 14062018).gif"/>
                    <pic:cNvPicPr/>
                  </pic:nvPicPr>
                  <pic:blipFill>
                    <a:blip r:embed="rId30" cstate="print">
                      <a:grayscl/>
                      <a:extLst>
                        <a:ext uri="{28A0092B-C50C-407E-A947-70E740481C1C}">
                          <a14:useLocalDpi xmlns:a14="http://schemas.microsoft.com/office/drawing/2010/main" val="0"/>
                        </a:ext>
                      </a:extLst>
                    </a:blip>
                    <a:stretch>
                      <a:fillRect/>
                    </a:stretch>
                  </pic:blipFill>
                  <pic:spPr>
                    <a:xfrm>
                      <a:off x="0" y="0"/>
                      <a:ext cx="9195195" cy="5311280"/>
                    </a:xfrm>
                    <a:prstGeom prst="rect">
                      <a:avLst/>
                    </a:prstGeom>
                  </pic:spPr>
                </pic:pic>
              </a:graphicData>
            </a:graphic>
          </wp:inline>
        </w:drawing>
      </w:r>
      <w:bookmarkEnd w:id="35"/>
      <w:bookmarkEnd w:id="36"/>
    </w:p>
    <w:p w:rsidR="0088150A" w:rsidRDefault="0088150A" w:rsidP="0088150A"/>
    <w:p w:rsidR="00E411B9" w:rsidRDefault="00E411B9" w:rsidP="00F17B7C">
      <w:pPr>
        <w:pStyle w:val="Heading2"/>
        <w:numPr>
          <w:ilvl w:val="1"/>
          <w:numId w:val="7"/>
        </w:numPr>
        <w:spacing w:before="120" w:after="120" w:line="264" w:lineRule="auto"/>
        <w:sectPr w:rsidR="00E411B9" w:rsidSect="007A2C74">
          <w:headerReference w:type="even" r:id="rId31"/>
          <w:headerReference w:type="default" r:id="rId32"/>
          <w:footerReference w:type="default" r:id="rId33"/>
          <w:headerReference w:type="first" r:id="rId34"/>
          <w:pgSz w:w="16834" w:h="11907" w:orient="landscape" w:code="9"/>
          <w:pgMar w:top="1134" w:right="1134" w:bottom="1134" w:left="1134" w:header="284" w:footer="425" w:gutter="0"/>
          <w:cols w:space="720"/>
          <w:docGrid w:linePitch="286"/>
        </w:sectPr>
      </w:pPr>
      <w:bookmarkStart w:id="37" w:name="_Toc530487401"/>
    </w:p>
    <w:p w:rsidR="0088150A" w:rsidRDefault="0088150A" w:rsidP="00E411B9">
      <w:pPr>
        <w:pStyle w:val="Heading2"/>
        <w:spacing w:before="0"/>
      </w:pPr>
      <w:bookmarkStart w:id="38" w:name="_Toc9239596"/>
      <w:r>
        <w:lastRenderedPageBreak/>
        <w:t>Gambling harm inequality and inequity</w:t>
      </w:r>
      <w:bookmarkEnd w:id="37"/>
      <w:bookmarkEnd w:id="38"/>
    </w:p>
    <w:p w:rsidR="0088150A" w:rsidRPr="00C10A99" w:rsidRDefault="0088150A" w:rsidP="00E411B9">
      <w:r w:rsidRPr="00C10A99">
        <w:t>Improved health and equity for all New Zealand population groups is a government priority.</w:t>
      </w:r>
    </w:p>
    <w:p w:rsidR="0088150A" w:rsidRDefault="0088150A" w:rsidP="00E411B9"/>
    <w:p w:rsidR="0088150A" w:rsidRDefault="0088150A" w:rsidP="00E411B9">
      <w:r w:rsidRPr="00C10A99">
        <w:t xml:space="preserve">To focus and prioritise gambling harm reduction activities </w:t>
      </w:r>
      <w:r>
        <w:t>in the next strategy period, the</w:t>
      </w:r>
      <w:r w:rsidRPr="00C10A99">
        <w:t xml:space="preserve"> Ministry </w:t>
      </w:r>
      <w:r>
        <w:t xml:space="preserve">proposes to </w:t>
      </w:r>
      <w:r w:rsidRPr="00C10A99">
        <w:t xml:space="preserve">continue </w:t>
      </w:r>
      <w:r>
        <w:t xml:space="preserve">using </w:t>
      </w:r>
      <w:r w:rsidRPr="00C10A99">
        <w:t xml:space="preserve">a health inequality and </w:t>
      </w:r>
      <w:r>
        <w:t>in</w:t>
      </w:r>
      <w:r w:rsidRPr="00C10A99">
        <w:t xml:space="preserve">equity lens, </w:t>
      </w:r>
      <w:r>
        <w:t xml:space="preserve">which </w:t>
      </w:r>
      <w:r w:rsidRPr="00C10A99">
        <w:t>complements the public health approach by identifying areas where there are large differences in gambling harm experience between population groups.</w:t>
      </w:r>
    </w:p>
    <w:p w:rsidR="0088150A" w:rsidRPr="00840E9E" w:rsidRDefault="0088150A" w:rsidP="00E411B9">
      <w:pPr>
        <w:pStyle w:val="Heading3"/>
        <w:numPr>
          <w:ilvl w:val="0"/>
          <w:numId w:val="0"/>
        </w:numPr>
      </w:pPr>
      <w:r w:rsidRPr="00840E9E">
        <w:t>What the research tells us</w:t>
      </w:r>
    </w:p>
    <w:p w:rsidR="0088150A" w:rsidRDefault="0088150A" w:rsidP="00E411B9">
      <w:r w:rsidRPr="00C10A99">
        <w:t xml:space="preserve">Gambling research </w:t>
      </w:r>
      <w:r w:rsidR="00290BA6">
        <w:t>shows</w:t>
      </w:r>
      <w:r>
        <w:t xml:space="preserve"> </w:t>
      </w:r>
      <w:r w:rsidRPr="00C10A99">
        <w:t>the</w:t>
      </w:r>
      <w:r w:rsidR="00290BA6">
        <w:t>re are</w:t>
      </w:r>
      <w:r w:rsidRPr="00C10A99">
        <w:t xml:space="preserve"> inequalities and inequities </w:t>
      </w:r>
      <w:r>
        <w:t xml:space="preserve">attributable to </w:t>
      </w:r>
      <w:r w:rsidRPr="00C10A99">
        <w:t xml:space="preserve">gambling harm both in the New Zealand population and internationally </w:t>
      </w:r>
      <w:r w:rsidRPr="00E312E8">
        <w:fldChar w:fldCharType="begin">
          <w:fldData xml:space="preserve">PEVuZE5vdGU+PENpdGU+PEF1dGhvcj5DYW5hbGU8L0F1dGhvcj48WWVhcj4yMDE3PC9ZZWFyPjxS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=
</w:fldData>
        </w:fldChar>
      </w:r>
      <w:r w:rsidRPr="00C10A99">
        <w:instrText xml:space="preserve"> ADDIN EN.CITE </w:instrText>
      </w:r>
      <w:r w:rsidRPr="008400D7">
        <w:fldChar w:fldCharType="begin">
          <w:fldData xml:space="preserve">PEVuZE5vdGU+PENpdGU+PEF1dGhvcj5DYW5hbGU8L0F1dGhvcj48WWVhcj4yMDE3PC9ZZWFyPjxS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=
</w:fldData>
        </w:fldChar>
      </w:r>
      <w:r w:rsidRPr="00C10A99">
        <w:instrText xml:space="preserve"> ADDIN EN.CITE.DATA </w:instrText>
      </w:r>
      <w:r w:rsidRPr="008400D7">
        <w:fldChar w:fldCharType="end"/>
      </w:r>
      <w:r w:rsidRPr="00E312E8">
        <w:fldChar w:fldCharType="separate"/>
      </w:r>
      <w:r w:rsidRPr="00E312E8">
        <w:rPr>
          <w:noProof/>
        </w:rPr>
        <w:t>(</w:t>
      </w:r>
      <w:hyperlink w:anchor="_ENREF_5" w:tooltip="Canale, 2017 #88" w:history="1">
        <w:r w:rsidRPr="00E312E8">
          <w:rPr>
            <w:noProof/>
          </w:rPr>
          <w:t>Canale et al 2017</w:t>
        </w:r>
      </w:hyperlink>
      <w:r w:rsidRPr="00E312E8">
        <w:rPr>
          <w:noProof/>
        </w:rPr>
        <w:t xml:space="preserve">; </w:t>
      </w:r>
      <w:hyperlink w:anchor="_ENREF_9" w:tooltip="Kolandai-Matchett, 2017 #57" w:history="1">
        <w:r w:rsidRPr="00E312E8">
          <w:rPr>
            <w:noProof/>
          </w:rPr>
          <w:t>Kolandai-Matchett et al 2017</w:t>
        </w:r>
      </w:hyperlink>
      <w:r w:rsidRPr="00E312E8">
        <w:rPr>
          <w:noProof/>
        </w:rPr>
        <w:t xml:space="preserve">; </w:t>
      </w:r>
      <w:hyperlink w:anchor="_ENREF_11" w:tooltip="Rintoul, 2013 #84" w:history="1">
        <w:r w:rsidRPr="00E312E8">
          <w:rPr>
            <w:noProof/>
          </w:rPr>
          <w:t>Rintoul et al 2013</w:t>
        </w:r>
      </w:hyperlink>
      <w:r w:rsidRPr="00E312E8">
        <w:rPr>
          <w:noProof/>
        </w:rPr>
        <w:t xml:space="preserve">; </w:t>
      </w:r>
      <w:hyperlink w:anchor="_ENREF_12" w:tooltip="Tu, 2014 #83" w:history="1">
        <w:r w:rsidRPr="00E312E8">
          <w:rPr>
            <w:noProof/>
          </w:rPr>
          <w:t>Tu et al 2014</w:t>
        </w:r>
      </w:hyperlink>
      <w:r w:rsidRPr="00E312E8">
        <w:rPr>
          <w:noProof/>
        </w:rPr>
        <w:t xml:space="preserve">; </w:t>
      </w:r>
      <w:hyperlink w:anchor="_ENREF_13" w:tooltip="van der Maas, 2016 #85" w:history="1">
        <w:r w:rsidRPr="00E312E8">
          <w:rPr>
            <w:noProof/>
          </w:rPr>
          <w:t>van der Maas 2016</w:t>
        </w:r>
      </w:hyperlink>
      <w:r w:rsidRPr="00E312E8">
        <w:rPr>
          <w:noProof/>
        </w:rPr>
        <w:t>)</w:t>
      </w:r>
      <w:r w:rsidRPr="00E312E8">
        <w:fldChar w:fldCharType="end"/>
      </w:r>
      <w:r w:rsidRPr="00E312E8">
        <w:t>.</w:t>
      </w:r>
    </w:p>
    <w:p w:rsidR="0088150A" w:rsidRDefault="0088150A" w:rsidP="00E411B9"/>
    <w:p w:rsidR="0088150A" w:rsidRDefault="0088150A" w:rsidP="00E411B9">
      <w:r w:rsidRPr="00C10A99">
        <w:t>An analysis of the responses to the 2016 HLS by a range of gambling predictors and population groups of interest (eg</w:t>
      </w:r>
      <w:r>
        <w:t>,</w:t>
      </w:r>
      <w:r w:rsidRPr="00C10A99">
        <w:t xml:space="preserve"> </w:t>
      </w:r>
      <w:r>
        <w:t>e</w:t>
      </w:r>
      <w:r w:rsidRPr="00C10A99">
        <w:t xml:space="preserve">thnicity, </w:t>
      </w:r>
      <w:r>
        <w:t>g</w:t>
      </w:r>
      <w:r w:rsidRPr="00C10A99">
        <w:t xml:space="preserve">ender, </w:t>
      </w:r>
      <w:r>
        <w:t>s</w:t>
      </w:r>
      <w:r w:rsidRPr="00C10A99">
        <w:t xml:space="preserve">ocial </w:t>
      </w:r>
      <w:r>
        <w:t>d</w:t>
      </w:r>
      <w:r w:rsidRPr="00C10A99">
        <w:t>eprivation</w:t>
      </w:r>
      <w:r>
        <w:t>)</w:t>
      </w:r>
      <w:r w:rsidRPr="00C10A99">
        <w:t xml:space="preserve"> shows that </w:t>
      </w:r>
      <w:r>
        <w:t xml:space="preserve">inequalities and </w:t>
      </w:r>
      <w:r w:rsidRPr="00C10A99">
        <w:t xml:space="preserve">inequities have persisted for some time </w:t>
      </w:r>
      <w:r w:rsidRPr="00E312E8">
        <w:fldChar w:fldCharType="begin"/>
      </w:r>
      <w:r w:rsidRPr="00C10A99">
        <w:instrText xml:space="preserve"> ADDIN EN.CITE &lt;EndNote&gt;&lt;Cite&gt;&lt;Author&gt;Thimasarn-Anwar&lt;/Author&gt;&lt;Year&gt;2017&lt;/Year&gt;&lt;RecNum&gt;89&lt;/RecNum&gt;&lt;DisplayText&gt;(Thimasarn-Anwar et al 2017)&lt;/DisplayText&gt;&lt;record&gt;&lt;rec-number&gt;89&lt;/rec-number&gt;&lt;foreign-keys&gt;&lt;key app="EN" db-id="220aw2sr9pxzepet5wvvpvtitppepwfzds2s"&gt;89&lt;/key&gt;&lt;/foreign-keys&gt;&lt;ref-type name="Report"&gt;27&lt;/ref-type&gt;&lt;contributors&gt;&lt;authors&gt;&lt;author&gt;Thimasarn-Anwar, T.&lt;/author&gt;&lt;author&gt;Squire, H.&lt;/author&gt;&lt;author&gt;Trowland, H. &lt;/author&gt;&lt;author&gt;Martin, G. (2017). Wellington: &lt;/author&gt;&lt;/authors&gt;&lt;tertiary-authors&gt;&lt;author&gt;Health Promotion Agency Research and Evaluation Unit.&lt;/author&gt;&lt;/tertiary-authors&gt;&lt;/contributors&gt;&lt;titles&gt;&lt;title&gt;Gambling report: Results from the 2016 Health and Lifestyles Survey&lt;/title&gt;&lt;/titles&gt;&lt;dates&gt;&lt;year&gt;2017&lt;/year&gt;&lt;pub-dates&gt;&lt;date&gt;February, 2018&lt;/date&gt;&lt;/pub-dates&gt;&lt;/dates&gt;&lt;pub-location&gt;Wellington&lt;/pub-location&gt;&lt;publisher&gt;Health Promotion Agency Research and Evaluation Unit.&lt;/publisher&gt;&lt;urls&gt;&lt;/urls&gt;&lt;/record&gt;&lt;/Cite&gt;&lt;/EndNote&gt;</w:instrText>
      </w:r>
      <w:r w:rsidRPr="00E312E8">
        <w:fldChar w:fldCharType="separate"/>
      </w:r>
      <w:r w:rsidRPr="00E312E8">
        <w:rPr>
          <w:noProof/>
        </w:rPr>
        <w:t>(</w:t>
      </w:r>
      <w:hyperlink w:anchor="_ENREF_39" w:tooltip="Thimasarn-Anwar, 2017 #89" w:history="1">
        <w:r w:rsidRPr="00E312E8">
          <w:rPr>
            <w:noProof/>
          </w:rPr>
          <w:t>Thimasarn-Anwar et al 2017</w:t>
        </w:r>
      </w:hyperlink>
      <w:r w:rsidRPr="00E312E8">
        <w:rPr>
          <w:noProof/>
        </w:rPr>
        <w:t>)</w:t>
      </w:r>
      <w:r w:rsidRPr="00E312E8">
        <w:fldChar w:fldCharType="end"/>
      </w:r>
      <w:r w:rsidRPr="00E312E8">
        <w:t xml:space="preserve">. </w:t>
      </w:r>
      <w:r>
        <w:t xml:space="preserve">The HLS results for the period 2010–2016 also show that while </w:t>
      </w:r>
      <w:r w:rsidRPr="00E312E8">
        <w:t>absolute levels of health inequ</w:t>
      </w:r>
      <w:r>
        <w:t>al</w:t>
      </w:r>
      <w:r w:rsidRPr="00E312E8">
        <w:t>ity and inequity have reduced over</w:t>
      </w:r>
      <w:r>
        <w:t xml:space="preserve"> </w:t>
      </w:r>
      <w:r w:rsidRPr="00E312E8">
        <w:t xml:space="preserve">time, </w:t>
      </w:r>
      <w:r w:rsidRPr="00C10A99">
        <w:t xml:space="preserve">relative levels of inequality and inequity between </w:t>
      </w:r>
      <w:r>
        <w:t>ethnic</w:t>
      </w:r>
      <w:r w:rsidRPr="00C10A99">
        <w:t xml:space="preserve"> groups remain</w:t>
      </w:r>
      <w:r>
        <w:t>.</w:t>
      </w:r>
    </w:p>
    <w:p w:rsidR="0088150A" w:rsidRDefault="0088150A" w:rsidP="00E411B9"/>
    <w:p w:rsidR="0088150A" w:rsidRDefault="0088150A" w:rsidP="00E411B9">
      <w:r w:rsidRPr="00C10A99">
        <w:t>In terms of overall gambling service u</w:t>
      </w:r>
      <w:r>
        <w:t>se</w:t>
      </w:r>
      <w:r w:rsidRPr="00C10A99">
        <w:t>, analysis indicates that there is substantive underu</w:t>
      </w:r>
      <w:r>
        <w:t>se</w:t>
      </w:r>
      <w:r w:rsidRPr="00C10A99">
        <w:t xml:space="preserve"> of services by the Pacific and Asian groups. Similarly</w:t>
      </w:r>
      <w:r>
        <w:t>,</w:t>
      </w:r>
      <w:r w:rsidRPr="00C10A99">
        <w:t xml:space="preserve"> an analysis </w:t>
      </w:r>
      <w:r>
        <w:t>using</w:t>
      </w:r>
      <w:r w:rsidRPr="00C10A99">
        <w:t xml:space="preserve"> the social deprivation index shows significant inequality, disparity and inequity between New Zealand populations groups by socioeconomic status.</w:t>
      </w:r>
    </w:p>
    <w:p w:rsidR="0088150A" w:rsidRDefault="0088150A" w:rsidP="00E411B9"/>
    <w:p w:rsidR="0088150A" w:rsidRDefault="0088150A" w:rsidP="00E411B9">
      <w:r>
        <w:t>Research also shows</w:t>
      </w:r>
      <w:r w:rsidRPr="00C10A99">
        <w:t xml:space="preserve"> higher concentrations of </w:t>
      </w:r>
      <w:r>
        <w:t>c</w:t>
      </w:r>
      <w:r w:rsidRPr="00C10A99">
        <w:t xml:space="preserve">lass 4 </w:t>
      </w:r>
      <w:r>
        <w:t>e</w:t>
      </w:r>
      <w:r w:rsidRPr="00C10A99">
        <w:t xml:space="preserve">lectronic </w:t>
      </w:r>
      <w:r>
        <w:t>g</w:t>
      </w:r>
      <w:r w:rsidRPr="00C10A99">
        <w:t xml:space="preserve">aming </w:t>
      </w:r>
      <w:r>
        <w:t>m</w:t>
      </w:r>
      <w:r w:rsidRPr="00C10A99">
        <w:t>achines (</w:t>
      </w:r>
      <w:r>
        <w:t>NCGM</w:t>
      </w:r>
      <w:r w:rsidRPr="00C10A99">
        <w:t>s (ie</w:t>
      </w:r>
      <w:r>
        <w:t>,</w:t>
      </w:r>
      <w:r w:rsidRPr="00C10A99">
        <w:t xml:space="preserve"> pokies) located in lower socioeconomic areas</w:t>
      </w:r>
      <w:r w:rsidR="00703FF5">
        <w:t>.</w:t>
      </w:r>
      <w:r>
        <w:t xml:space="preserve"> Figure 3</w:t>
      </w:r>
      <w:r>
        <w:rPr>
          <w:rStyle w:val="FootnoteReference"/>
        </w:rPr>
        <w:footnoteReference w:id="10"/>
      </w:r>
      <w:r w:rsidRPr="00C10A99">
        <w:t xml:space="preserve"> </w:t>
      </w:r>
      <w:r>
        <w:t>shows that a</w:t>
      </w:r>
      <w:r w:rsidRPr="00C10A99">
        <w:t>pproximately 50</w:t>
      </w:r>
      <w:r>
        <w:t> percent</w:t>
      </w:r>
      <w:r w:rsidRPr="00C10A99">
        <w:t xml:space="preserve"> of all </w:t>
      </w:r>
      <w:r>
        <w:t>NCGM</w:t>
      </w:r>
      <w:r w:rsidRPr="00C10A99">
        <w:t>s (which is the source of the highest risk of harmful gambling activity) are located in the most socioeconomically deprived areas (ie</w:t>
      </w:r>
      <w:r>
        <w:t>, the</w:t>
      </w:r>
      <w:r w:rsidRPr="00C10A99">
        <w:t xml:space="preserve"> poorest areas of the country).</w:t>
      </w:r>
      <w:r w:rsidRPr="00972532">
        <w:t xml:space="preserve"> </w:t>
      </w:r>
      <w:r w:rsidRPr="00C10A99">
        <w:t xml:space="preserve">Economically, </w:t>
      </w:r>
      <w:r>
        <w:t xml:space="preserve">people in these areas can </w:t>
      </w:r>
      <w:r w:rsidRPr="00C10A99">
        <w:t>least afford financial losses from gambling</w:t>
      </w:r>
      <w:r>
        <w:t>.</w:t>
      </w:r>
    </w:p>
    <w:p w:rsidR="00E411B9" w:rsidRDefault="00E411B9" w:rsidP="00E411B9"/>
    <w:p w:rsidR="00A10EC0" w:rsidRDefault="0088150A" w:rsidP="005A26D2">
      <w:pPr>
        <w:pStyle w:val="Figure"/>
      </w:pPr>
      <w:bookmarkStart w:id="39" w:name="_Toc516836144"/>
      <w:bookmarkStart w:id="40" w:name="_Toc529428318"/>
      <w:bookmarkStart w:id="41" w:name="_Toc4156645"/>
      <w:bookmarkStart w:id="42" w:name="_Toc7680399"/>
      <w:r>
        <w:lastRenderedPageBreak/>
        <w:t xml:space="preserve">Figure </w:t>
      </w:r>
      <w:r w:rsidR="00762F08">
        <w:rPr>
          <w:noProof/>
        </w:rPr>
        <w:fldChar w:fldCharType="begin"/>
      </w:r>
      <w:r w:rsidR="00762F08">
        <w:rPr>
          <w:noProof/>
        </w:rPr>
        <w:instrText xml:space="preserve"> SEQ Figure \* ARABIC </w:instrText>
      </w:r>
      <w:r w:rsidR="00762F08">
        <w:rPr>
          <w:noProof/>
        </w:rPr>
        <w:fldChar w:fldCharType="separate"/>
      </w:r>
      <w:r w:rsidR="0002049A">
        <w:rPr>
          <w:noProof/>
        </w:rPr>
        <w:t>3</w:t>
      </w:r>
      <w:r w:rsidR="00762F08">
        <w:rPr>
          <w:noProof/>
        </w:rPr>
        <w:fldChar w:fldCharType="end"/>
      </w:r>
      <w:r>
        <w:t>: Distribution of class 4 NCGMs by low-, mid- and high-deprivation census area units</w:t>
      </w:r>
      <w:bookmarkEnd w:id="39"/>
      <w:r>
        <w:t>, 2012–2018</w:t>
      </w:r>
      <w:bookmarkEnd w:id="40"/>
      <w:bookmarkEnd w:id="41"/>
      <w:bookmarkEnd w:id="42"/>
    </w:p>
    <w:p w:rsidR="0088150A" w:rsidRDefault="0088150A" w:rsidP="00E411B9">
      <w:r>
        <w:rPr>
          <w:noProof/>
          <w:lang w:eastAsia="en-NZ"/>
        </w:rPr>
        <w:drawing>
          <wp:inline distT="0" distB="0" distL="0" distR="0" wp14:anchorId="10F0C649" wp14:editId="7DC82498">
            <wp:extent cx="5273040" cy="2729552"/>
            <wp:effectExtent l="0" t="0" r="381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8150A" w:rsidRDefault="00E411B9" w:rsidP="00E411B9">
      <w:pPr>
        <w:pStyle w:val="Source"/>
      </w:pPr>
      <w:r w:rsidRPr="00DF1F14">
        <w:t xml:space="preserve">Source: Department of Internal </w:t>
      </w:r>
      <w:r w:rsidRPr="00972532">
        <w:t>Affairs</w:t>
      </w:r>
    </w:p>
    <w:p w:rsidR="00E411B9" w:rsidRPr="00E411B9" w:rsidRDefault="00E411B9" w:rsidP="00E411B9"/>
    <w:p w:rsidR="0088150A" w:rsidRPr="00840E9E" w:rsidRDefault="0088150A" w:rsidP="00E411B9">
      <w:pPr>
        <w:pStyle w:val="BoxHeading"/>
        <w:pBdr>
          <w:top w:val="single" w:sz="4" w:space="9" w:color="auto"/>
          <w:bottom w:val="single" w:sz="4" w:space="9" w:color="auto"/>
        </w:pBdr>
        <w:spacing w:before="120"/>
      </w:pPr>
      <w:r w:rsidRPr="00840E9E">
        <w:t>How do inequities come about?</w:t>
      </w:r>
    </w:p>
    <w:p w:rsidR="00290BA6" w:rsidRDefault="0088150A" w:rsidP="00E411B9">
      <w:pPr>
        <w:pStyle w:val="Box"/>
        <w:pBdr>
          <w:top w:val="single" w:sz="4" w:space="9" w:color="auto"/>
          <w:bottom w:val="single" w:sz="4" w:space="9" w:color="auto"/>
        </w:pBdr>
        <w:spacing w:before="60"/>
      </w:pPr>
      <w:r w:rsidRPr="00C10A99">
        <w:t>Inequities are not random</w:t>
      </w:r>
      <w:r>
        <w:t>;</w:t>
      </w:r>
      <w:r w:rsidRPr="00C10A99">
        <w:t xml:space="preserve"> they are typically due to structural factors present in society and </w:t>
      </w:r>
      <w:r w:rsidR="00703FF5" w:rsidRPr="00C10A99">
        <w:t xml:space="preserve">the </w:t>
      </w:r>
      <w:r w:rsidRPr="00C10A99">
        <w:t xml:space="preserve">local community that cannot be explained by biomedical differences between population groups. This means their causes are often complex and multifaceted and are outside the scope of the health system to address on its own. </w:t>
      </w:r>
    </w:p>
    <w:p w:rsidR="0088150A" w:rsidRPr="00C10A99" w:rsidRDefault="0088150A" w:rsidP="00E411B9">
      <w:pPr>
        <w:pStyle w:val="Box"/>
        <w:pBdr>
          <w:top w:val="single" w:sz="4" w:space="9" w:color="auto"/>
          <w:bottom w:val="single" w:sz="4" w:space="9" w:color="auto"/>
        </w:pBdr>
        <w:spacing w:before="60"/>
      </w:pPr>
      <w:r w:rsidRPr="00C10A99">
        <w:t>For example</w:t>
      </w:r>
      <w:r>
        <w:t>,</w:t>
      </w:r>
      <w:r w:rsidRPr="00C10A99">
        <w:t xml:space="preserve"> income inequality (poverty) has been shown to be strongly associated with differences in health outcomes</w:t>
      </w:r>
      <w:r>
        <w:t>,</w:t>
      </w:r>
      <w:r w:rsidRPr="00C10A99">
        <w:t xml:space="preserve"> including gambling </w:t>
      </w:r>
      <w:r w:rsidRPr="004A1981">
        <w:fldChar w:fldCharType="begin">
          <w:fldData xml:space="preserve">PEVuZE5vdGU+PENpdGU+PEF1dGhvcj5DYW5hbGU8L0F1dGhvcj48WWVhcj4yMDE3PC9ZZWFyPjxS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=
</w:fldData>
        </w:fldChar>
      </w:r>
      <w:r w:rsidRPr="00C10A99">
        <w:instrText xml:space="preserve"> ADDIN EN.CITE </w:instrText>
      </w:r>
      <w:r w:rsidRPr="008400D7">
        <w:fldChar w:fldCharType="begin">
          <w:fldData xml:space="preserve">PEVuZE5vdGU+PENpdGU+PEF1dGhvcj5DYW5hbGU8L0F1dGhvcj48WWVhcj4yMDE3PC9ZZWFyPjxS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=
</w:fldData>
        </w:fldChar>
      </w:r>
      <w:r w:rsidRPr="00C10A99">
        <w:instrText xml:space="preserve"> ADDIN EN.CITE.DATA </w:instrText>
      </w:r>
      <w:r w:rsidRPr="008400D7">
        <w:fldChar w:fldCharType="end"/>
      </w:r>
      <w:r w:rsidRPr="004A1981">
        <w:fldChar w:fldCharType="separate"/>
      </w:r>
      <w:r w:rsidRPr="00C10A99">
        <w:rPr>
          <w:noProof/>
        </w:rPr>
        <w:t>(</w:t>
      </w:r>
      <w:hyperlink w:anchor="_ENREF_5" w:tooltip="Canale, 2017 #88" w:history="1">
        <w:r w:rsidRPr="00C10A99">
          <w:rPr>
            <w:noProof/>
          </w:rPr>
          <w:t>Canale et al 2017</w:t>
        </w:r>
      </w:hyperlink>
      <w:r w:rsidRPr="00C10A99">
        <w:rPr>
          <w:noProof/>
        </w:rPr>
        <w:t xml:space="preserve">; </w:t>
      </w:r>
      <w:hyperlink w:anchor="_ENREF_9" w:tooltip="Kolandai-Matchett, 2017 #57" w:history="1">
        <w:r w:rsidRPr="00C10A99">
          <w:rPr>
            <w:noProof/>
          </w:rPr>
          <w:t>Kolandai-Matchett et al 2017</w:t>
        </w:r>
      </w:hyperlink>
      <w:r w:rsidRPr="00C10A99">
        <w:rPr>
          <w:noProof/>
        </w:rPr>
        <w:t xml:space="preserve">; </w:t>
      </w:r>
      <w:hyperlink w:anchor="_ENREF_11" w:tooltip="Rintoul, 2013 #84" w:history="1">
        <w:r w:rsidRPr="00C10A99">
          <w:rPr>
            <w:noProof/>
          </w:rPr>
          <w:t>Rintoul et</w:t>
        </w:r>
        <w:r>
          <w:rPr>
            <w:noProof/>
          </w:rPr>
          <w:t> </w:t>
        </w:r>
        <w:r w:rsidRPr="00C10A99">
          <w:rPr>
            <w:noProof/>
          </w:rPr>
          <w:t>al 2013</w:t>
        </w:r>
      </w:hyperlink>
      <w:r w:rsidRPr="00C10A99">
        <w:rPr>
          <w:noProof/>
        </w:rPr>
        <w:t xml:space="preserve">; </w:t>
      </w:r>
      <w:hyperlink w:anchor="_ENREF_12" w:tooltip="Tu, 2014 #83" w:history="1">
        <w:r w:rsidRPr="00C10A99">
          <w:rPr>
            <w:noProof/>
          </w:rPr>
          <w:t>Tu et al 2014</w:t>
        </w:r>
      </w:hyperlink>
      <w:r w:rsidRPr="00C10A99">
        <w:rPr>
          <w:noProof/>
        </w:rPr>
        <w:t xml:space="preserve">; </w:t>
      </w:r>
      <w:hyperlink w:anchor="_ENREF_13" w:tooltip="van der Maas, 2016 #85" w:history="1">
        <w:r w:rsidRPr="00C10A99">
          <w:rPr>
            <w:noProof/>
          </w:rPr>
          <w:t>van der Maas 2016</w:t>
        </w:r>
      </w:hyperlink>
      <w:r w:rsidRPr="00C10A99">
        <w:rPr>
          <w:noProof/>
        </w:rPr>
        <w:t>)</w:t>
      </w:r>
      <w:r w:rsidRPr="004A1981">
        <w:fldChar w:fldCharType="end"/>
      </w:r>
      <w:r w:rsidRPr="00C10A99">
        <w:t>. This means that achieving</w:t>
      </w:r>
      <w:r w:rsidR="009211B5" w:rsidRPr="009211B5">
        <w:t xml:space="preserve"> </w:t>
      </w:r>
      <w:r w:rsidR="009211B5" w:rsidRPr="00C10A99">
        <w:t>equity</w:t>
      </w:r>
      <w:r w:rsidR="009211B5">
        <w:t xml:space="preserve"> in</w:t>
      </w:r>
      <w:r w:rsidRPr="00C10A99">
        <w:t xml:space="preserve"> gambling harm minimisation requires a strong evidence base and a strategic, integrated approach from the health sector and other sectors.</w:t>
      </w:r>
    </w:p>
    <w:p w:rsidR="0088150A" w:rsidRPr="00E411B9" w:rsidRDefault="0088150A" w:rsidP="00E411B9">
      <w:pPr>
        <w:spacing w:before="200"/>
        <w:ind w:right="-198"/>
        <w:rPr>
          <w:spacing w:val="-2"/>
        </w:rPr>
      </w:pPr>
      <w:r w:rsidRPr="00E411B9">
        <w:rPr>
          <w:spacing w:val="-2"/>
        </w:rPr>
        <w:t>The Ministry will use strategies and frameworks such as He Korowai Oranga</w:t>
      </w:r>
      <w:r w:rsidRPr="00E411B9">
        <w:rPr>
          <w:i/>
          <w:spacing w:val="-2"/>
        </w:rPr>
        <w:t xml:space="preserve"> </w:t>
      </w:r>
      <w:r w:rsidRPr="00E411B9">
        <w:rPr>
          <w:spacing w:val="-2"/>
        </w:rPr>
        <w:t xml:space="preserve">(Ministry of Health 2014c); </w:t>
      </w:r>
      <w:r w:rsidRPr="00E411B9">
        <w:rPr>
          <w:i/>
          <w:spacing w:val="-2"/>
        </w:rPr>
        <w:t>Equity of Health Care for Māori: A framework</w:t>
      </w:r>
      <w:r w:rsidRPr="00E411B9">
        <w:rPr>
          <w:spacing w:val="-2"/>
        </w:rPr>
        <w:t xml:space="preserve"> (Ministry of Health 2014b);</w:t>
      </w:r>
      <w:r w:rsidRPr="00E411B9">
        <w:rPr>
          <w:i/>
          <w:spacing w:val="-2"/>
        </w:rPr>
        <w:t xml:space="preserve"> </w:t>
      </w:r>
      <w:r w:rsidR="00331D74">
        <w:rPr>
          <w:i/>
          <w:spacing w:val="-2"/>
        </w:rPr>
        <w:t>‘Ala</w:t>
      </w:r>
      <w:r w:rsidRPr="00E411B9">
        <w:rPr>
          <w:i/>
          <w:spacing w:val="-2"/>
        </w:rPr>
        <w:t xml:space="preserve"> Mo</w:t>
      </w:r>
      <w:r w:rsidR="00A10EC0" w:rsidRPr="00E411B9">
        <w:rPr>
          <w:i/>
          <w:spacing w:val="-2"/>
        </w:rPr>
        <w:t>’</w:t>
      </w:r>
      <w:r w:rsidRPr="00E411B9">
        <w:rPr>
          <w:i/>
          <w:spacing w:val="-2"/>
        </w:rPr>
        <w:t>ui: Pathways to Pacific Health and Wellbeing 2014–2018</w:t>
      </w:r>
      <w:r w:rsidRPr="00E411B9">
        <w:rPr>
          <w:spacing w:val="-2"/>
        </w:rPr>
        <w:t xml:space="preserve"> (Ministry of Health 2014a) and the New Zealand Health Strategy (Minister of Health 2016) to focus on minimising gambling</w:t>
      </w:r>
      <w:r w:rsidR="00463490">
        <w:rPr>
          <w:spacing w:val="-2"/>
        </w:rPr>
        <w:t>-</w:t>
      </w:r>
      <w:r w:rsidRPr="00E411B9">
        <w:rPr>
          <w:spacing w:val="-2"/>
        </w:rPr>
        <w:t>harm-related inequities. It will support this focus through health literacy activities.</w:t>
      </w:r>
    </w:p>
    <w:p w:rsidR="0088150A" w:rsidRPr="00E411B9" w:rsidRDefault="0088150A" w:rsidP="00E411B9">
      <w:pPr>
        <w:spacing w:before="200"/>
        <w:rPr>
          <w:spacing w:val="-2"/>
        </w:rPr>
      </w:pPr>
      <w:r w:rsidRPr="00E411B9">
        <w:rPr>
          <w:spacing w:val="-2"/>
        </w:rPr>
        <w:t>The Ministry</w:t>
      </w:r>
      <w:r w:rsidR="00A10EC0" w:rsidRPr="00E411B9">
        <w:rPr>
          <w:spacing w:val="-2"/>
        </w:rPr>
        <w:t>’</w:t>
      </w:r>
      <w:r w:rsidRPr="00E411B9">
        <w:rPr>
          <w:spacing w:val="-2"/>
        </w:rPr>
        <w:t>s health literacy framework and guide aim to improve the quality of services delivered to individuals, families</w:t>
      </w:r>
      <w:r w:rsidR="009C5BBD">
        <w:rPr>
          <w:spacing w:val="-2"/>
        </w:rPr>
        <w:t xml:space="preserve">, </w:t>
      </w:r>
      <w:r w:rsidRPr="00E411B9">
        <w:rPr>
          <w:spacing w:val="-2"/>
        </w:rPr>
        <w:t xml:space="preserve">whānau and communities by raising awareness of issues such as the importance of screening and the presence of inequities and harm in service use (Ministry of Health 2015). It has applied the approach in gambling harm minimisation services; more broadly to promote screening in drug, alcohol and mental health services; and in the </w:t>
      </w:r>
      <w:r w:rsidR="00A10EC0" w:rsidRPr="00E411B9">
        <w:rPr>
          <w:spacing w:val="-2"/>
        </w:rPr>
        <w:t>‘</w:t>
      </w:r>
      <w:r w:rsidRPr="00E411B9">
        <w:rPr>
          <w:spacing w:val="-2"/>
        </w:rPr>
        <w:t>navigator</w:t>
      </w:r>
      <w:r w:rsidR="00A10EC0" w:rsidRPr="00E411B9">
        <w:rPr>
          <w:spacing w:val="-2"/>
        </w:rPr>
        <w:t>’</w:t>
      </w:r>
      <w:r w:rsidRPr="00E411B9">
        <w:rPr>
          <w:spacing w:val="-2"/>
        </w:rPr>
        <w:t xml:space="preserve"> approach to accessing health services.</w:t>
      </w:r>
    </w:p>
    <w:p w:rsidR="0088150A" w:rsidRDefault="0088150A" w:rsidP="00E411B9">
      <w:pPr>
        <w:spacing w:before="200"/>
      </w:pPr>
      <w:r>
        <w:lastRenderedPageBreak/>
        <w:t>Any</w:t>
      </w:r>
      <w:r w:rsidRPr="00C10A99">
        <w:t xml:space="preserve"> Ministry </w:t>
      </w:r>
      <w:r>
        <w:t>publication</w:t>
      </w:r>
      <w:r w:rsidRPr="00C10A99">
        <w:t xml:space="preserve"> </w:t>
      </w:r>
      <w:r>
        <w:t>that outlines</w:t>
      </w:r>
      <w:r w:rsidRPr="00C10A99">
        <w:t xml:space="preserve"> the concepts and evidence from research to inform </w:t>
      </w:r>
      <w:r>
        <w:t>the</w:t>
      </w:r>
      <w:r w:rsidRPr="00C10A99">
        <w:t xml:space="preserve"> approach to</w:t>
      </w:r>
      <w:r>
        <w:t xml:space="preserve"> reducing</w:t>
      </w:r>
      <w:r w:rsidRPr="00C10A99">
        <w:t xml:space="preserve"> gambling harm will help raise awareness </w:t>
      </w:r>
      <w:r>
        <w:t xml:space="preserve">in the </w:t>
      </w:r>
      <w:r w:rsidRPr="00C10A99">
        <w:t xml:space="preserve">gambling sector of </w:t>
      </w:r>
      <w:r>
        <w:t>the knowledge base that informs the strategy.</w:t>
      </w:r>
    </w:p>
    <w:p w:rsidR="005E7FF4" w:rsidRDefault="005E7FF4" w:rsidP="00E411B9">
      <w:pPr>
        <w:spacing w:before="200"/>
      </w:pPr>
    </w:p>
    <w:p w:rsidR="0088150A" w:rsidRPr="00C10A99" w:rsidRDefault="00167B61" w:rsidP="0085615E">
      <w:pPr>
        <w:pStyle w:val="Heading2"/>
        <w:spacing w:before="0"/>
      </w:pPr>
      <w:bookmarkStart w:id="43" w:name="_Toc421026461"/>
      <w:bookmarkStart w:id="44" w:name="_Toc517090894"/>
      <w:bookmarkStart w:id="45" w:name="_Toc530487402"/>
      <w:bookmarkStart w:id="46" w:name="_Toc9239597"/>
      <w:bookmarkStart w:id="47" w:name="_Toc329860053"/>
      <w:r>
        <w:t>S</w:t>
      </w:r>
      <w:r w:rsidR="0088150A" w:rsidRPr="00C10A99">
        <w:t xml:space="preserve">trategic </w:t>
      </w:r>
      <w:r w:rsidR="0088150A">
        <w:t>f</w:t>
      </w:r>
      <w:r w:rsidR="0088150A" w:rsidRPr="00C10A99">
        <w:t>ramework</w:t>
      </w:r>
      <w:r>
        <w:t xml:space="preserve"> </w:t>
      </w:r>
      <w:r w:rsidR="00E411B9">
        <w:br/>
      </w:r>
      <w:r w:rsidR="0088150A" w:rsidRPr="00C10A99">
        <w:t>2019/20</w:t>
      </w:r>
      <w:r w:rsidR="0088150A">
        <w:t>–</w:t>
      </w:r>
      <w:r w:rsidR="0088150A" w:rsidRPr="00C10A99">
        <w:t>202</w:t>
      </w:r>
      <w:r w:rsidR="0088150A">
        <w:t>1/22</w:t>
      </w:r>
      <w:bookmarkEnd w:id="43"/>
      <w:bookmarkEnd w:id="44"/>
      <w:bookmarkEnd w:id="45"/>
      <w:bookmarkEnd w:id="46"/>
    </w:p>
    <w:p w:rsidR="0088150A" w:rsidRDefault="0088150A" w:rsidP="008D414D">
      <w:r>
        <w:t xml:space="preserve">The Ministry </w:t>
      </w:r>
      <w:r w:rsidR="00652CE2">
        <w:t xml:space="preserve">has made </w:t>
      </w:r>
      <w:r>
        <w:t>relatively minor changes to the strategic plan/framework that was published in 2016/17, to better target reductions in health inequities. The strategic framework is based on an outcomes framework agreed by both the gambling industry and gambling harm services in 2012/13. The Ministry expects to revisit the strategic aim and objectives during the next levy period, to ensure they remain fit for purpose.</w:t>
      </w:r>
    </w:p>
    <w:p w:rsidR="0088150A" w:rsidRDefault="0088150A" w:rsidP="008D414D"/>
    <w:p w:rsidR="00A10EC0" w:rsidRPr="008D414D" w:rsidRDefault="0088150A" w:rsidP="008D414D">
      <w:pPr>
        <w:rPr>
          <w:spacing w:val="-2"/>
        </w:rPr>
      </w:pPr>
      <w:r w:rsidRPr="008D414D">
        <w:rPr>
          <w:spacing w:val="-2"/>
        </w:rPr>
        <w:t xml:space="preserve">Most submissions the Ministry received on the consultation document supported the general direction of the strategy and strategic objectives; many also commented in detail on matters that were of particular importance to them. The Ministry has made some changes to the </w:t>
      </w:r>
      <w:r w:rsidR="009C410E">
        <w:rPr>
          <w:spacing w:val="-2"/>
        </w:rPr>
        <w:t>strategic</w:t>
      </w:r>
      <w:r w:rsidRPr="008D414D">
        <w:rPr>
          <w:spacing w:val="-2"/>
        </w:rPr>
        <w:t xml:space="preserve"> prioritie</w:t>
      </w:r>
      <w:r w:rsidR="009C410E">
        <w:rPr>
          <w:spacing w:val="-2"/>
        </w:rPr>
        <w:t>s and action</w:t>
      </w:r>
      <w:r w:rsidRPr="008D414D">
        <w:rPr>
          <w:spacing w:val="-2"/>
        </w:rPr>
        <w:t xml:space="preserve">s, </w:t>
      </w:r>
      <w:r w:rsidR="005337FA">
        <w:rPr>
          <w:spacing w:val="-2"/>
        </w:rPr>
        <w:t>with the aim of</w:t>
      </w:r>
      <w:r w:rsidR="005337FA" w:rsidRPr="008D414D">
        <w:rPr>
          <w:spacing w:val="-2"/>
        </w:rPr>
        <w:t xml:space="preserve"> </w:t>
      </w:r>
      <w:r w:rsidRPr="008D414D">
        <w:rPr>
          <w:spacing w:val="-2"/>
        </w:rPr>
        <w:t>highlight</w:t>
      </w:r>
      <w:r w:rsidR="005337FA">
        <w:rPr>
          <w:spacing w:val="-2"/>
        </w:rPr>
        <w:t>ing</w:t>
      </w:r>
      <w:r w:rsidRPr="008D414D">
        <w:rPr>
          <w:spacing w:val="-2"/>
        </w:rPr>
        <w:t xml:space="preserve"> specific matters, </w:t>
      </w:r>
      <w:r w:rsidR="005337FA">
        <w:rPr>
          <w:spacing w:val="-2"/>
        </w:rPr>
        <w:t xml:space="preserve">while </w:t>
      </w:r>
      <w:r w:rsidRPr="008D414D">
        <w:rPr>
          <w:spacing w:val="-2"/>
        </w:rPr>
        <w:t>bearing in mind the objectives are intended to be set at a high level, and the service plan</w:t>
      </w:r>
      <w:r w:rsidR="009C410E">
        <w:rPr>
          <w:spacing w:val="-2"/>
        </w:rPr>
        <w:t xml:space="preserve"> in</w:t>
      </w:r>
      <w:r w:rsidRPr="008D414D">
        <w:rPr>
          <w:spacing w:val="-2"/>
        </w:rPr>
        <w:t xml:space="preserve"> Section </w:t>
      </w:r>
      <w:r w:rsidR="009C410E">
        <w:rPr>
          <w:spacing w:val="-2"/>
        </w:rPr>
        <w:t>3</w:t>
      </w:r>
      <w:r w:rsidRPr="008D414D">
        <w:rPr>
          <w:spacing w:val="-2"/>
        </w:rPr>
        <w:t xml:space="preserve"> addresses operational matters.</w:t>
      </w:r>
    </w:p>
    <w:p w:rsidR="0088150A" w:rsidRDefault="0088150A" w:rsidP="008D414D"/>
    <w:p w:rsidR="0088150A" w:rsidRPr="00E0156C" w:rsidRDefault="0088150A" w:rsidP="00762F08">
      <w:pPr>
        <w:pStyle w:val="Heading3"/>
        <w:numPr>
          <w:ilvl w:val="0"/>
          <w:numId w:val="0"/>
        </w:numPr>
        <w:ind w:left="142"/>
      </w:pPr>
      <w:bookmarkStart w:id="48" w:name="_Toc517090895"/>
      <w:bookmarkStart w:id="49" w:name="_Toc530487403"/>
      <w:r w:rsidRPr="00C10A99">
        <w:t>Overall goal of the strategic plan</w:t>
      </w:r>
      <w:bookmarkEnd w:id="48"/>
      <w:bookmarkEnd w:id="49"/>
    </w:p>
    <w:p w:rsidR="0088150A" w:rsidRPr="008D414D" w:rsidRDefault="0088150A" w:rsidP="008D414D">
      <w:pPr>
        <w:rPr>
          <w:spacing w:val="-2"/>
        </w:rPr>
      </w:pPr>
      <w:r w:rsidRPr="008D414D">
        <w:rPr>
          <w:spacing w:val="-2"/>
        </w:rPr>
        <w:t>The Ministry is committed to a long-term approach that has not significantly changed from the approach outlined in its first six-year strategic plan in 2005. The overall goal is:</w:t>
      </w:r>
    </w:p>
    <w:p w:rsidR="0088150A" w:rsidRDefault="0088150A" w:rsidP="008D414D">
      <w:pPr>
        <w:pStyle w:val="Quote"/>
      </w:pPr>
      <w:r w:rsidRPr="00785C98">
        <w:t>Government, the gambling sector, communities and families/whānau working together to prevent and minimise gambling harm, and to reduce related health inequities.</w:t>
      </w:r>
    </w:p>
    <w:p w:rsidR="0088150A" w:rsidRPr="00785C98" w:rsidRDefault="0088150A" w:rsidP="008D414D"/>
    <w:p w:rsidR="0088150A" w:rsidRPr="005E3D21" w:rsidRDefault="0088150A" w:rsidP="00762F08">
      <w:pPr>
        <w:pStyle w:val="Heading3"/>
        <w:numPr>
          <w:ilvl w:val="0"/>
          <w:numId w:val="0"/>
        </w:numPr>
        <w:ind w:left="142"/>
      </w:pPr>
      <w:bookmarkStart w:id="50" w:name="_Toc517090896"/>
      <w:bookmarkStart w:id="51" w:name="_Toc530487404"/>
      <w:r w:rsidRPr="005E3D21">
        <w:t xml:space="preserve">Eleven </w:t>
      </w:r>
      <w:r>
        <w:t>s</w:t>
      </w:r>
      <w:r w:rsidRPr="005E3D21">
        <w:t>trategic objectives</w:t>
      </w:r>
      <w:bookmarkEnd w:id="50"/>
      <w:bookmarkEnd w:id="51"/>
    </w:p>
    <w:p w:rsidR="0088150A" w:rsidRPr="00E312E8" w:rsidRDefault="0088150A" w:rsidP="008D414D">
      <w:r>
        <w:t xml:space="preserve">The following 11 </w:t>
      </w:r>
      <w:r w:rsidRPr="00E312E8">
        <w:t xml:space="preserve">strategic objectives </w:t>
      </w:r>
      <w:r>
        <w:t xml:space="preserve">guide the </w:t>
      </w:r>
      <w:r w:rsidRPr="00E312E8">
        <w:t xml:space="preserve">strategic direction for the </w:t>
      </w:r>
      <w:r>
        <w:t xml:space="preserve">actions in the </w:t>
      </w:r>
      <w:r w:rsidRPr="00E312E8">
        <w:t>service plan</w:t>
      </w:r>
      <w:r>
        <w:t>.</w:t>
      </w:r>
    </w:p>
    <w:p w:rsidR="0088150A" w:rsidRPr="00C10A99" w:rsidRDefault="0088150A" w:rsidP="00F0060F">
      <w:pPr>
        <w:spacing w:before="120"/>
        <w:ind w:left="567" w:right="567"/>
      </w:pPr>
      <w:r w:rsidRPr="00C10A99">
        <w:rPr>
          <w:b/>
          <w:bCs/>
        </w:rPr>
        <w:t>Objective 1:</w:t>
      </w:r>
      <w:r w:rsidRPr="00C10A99">
        <w:t xml:space="preserve"> There is a reduction in gambling-harm-related inequities </w:t>
      </w:r>
      <w:r>
        <w:t xml:space="preserve">between population groups </w:t>
      </w:r>
      <w:r w:rsidRPr="00C10A99">
        <w:t>(particularly Māori</w:t>
      </w:r>
      <w:r>
        <w:t xml:space="preserve">, </w:t>
      </w:r>
      <w:r w:rsidRPr="00C10A99">
        <w:t xml:space="preserve">Pacific </w:t>
      </w:r>
      <w:r>
        <w:t xml:space="preserve">and Asian </w:t>
      </w:r>
      <w:r w:rsidRPr="00C10A99">
        <w:t>peoples, as the populations that are most vulnerable to gambling harm).</w:t>
      </w:r>
    </w:p>
    <w:p w:rsidR="0088150A" w:rsidRPr="00C10A99" w:rsidRDefault="0088150A" w:rsidP="00F0060F">
      <w:pPr>
        <w:spacing w:before="120"/>
        <w:ind w:left="567" w:right="567"/>
        <w:rPr>
          <w:szCs w:val="24"/>
        </w:rPr>
      </w:pPr>
      <w:r w:rsidRPr="00C10A99">
        <w:rPr>
          <w:b/>
          <w:szCs w:val="24"/>
        </w:rPr>
        <w:t xml:space="preserve">Objective 2: </w:t>
      </w:r>
      <w:r w:rsidRPr="00C10A99">
        <w:rPr>
          <w:szCs w:val="24"/>
        </w:rPr>
        <w:t>Māori have healthier futures, through the prevention and minimisation of gambling harm.</w:t>
      </w:r>
    </w:p>
    <w:p w:rsidR="0088150A" w:rsidRPr="00C10A99" w:rsidRDefault="0088150A" w:rsidP="00F0060F">
      <w:pPr>
        <w:spacing w:before="120"/>
        <w:ind w:left="567" w:right="567"/>
      </w:pPr>
      <w:r w:rsidRPr="00C10A99">
        <w:rPr>
          <w:b/>
          <w:bCs/>
        </w:rPr>
        <w:t>Objective 3:</w:t>
      </w:r>
      <w:r w:rsidRPr="00C10A99">
        <w:t xml:space="preserve"> People participate in decision-making about activities in their communities that prevent and minimise gambling harm.</w:t>
      </w:r>
    </w:p>
    <w:p w:rsidR="0088150A" w:rsidRPr="00C10A99" w:rsidRDefault="0088150A" w:rsidP="00F0060F">
      <w:pPr>
        <w:spacing w:before="120"/>
        <w:ind w:left="567" w:right="567"/>
      </w:pPr>
      <w:r w:rsidRPr="00C10A99">
        <w:rPr>
          <w:b/>
          <w:bCs/>
        </w:rPr>
        <w:t xml:space="preserve">Objective 4: </w:t>
      </w:r>
      <w:r w:rsidRPr="00C10A99">
        <w:t>Healthy policy at the national, regional and local level prevents and minimises gambling harm.</w:t>
      </w:r>
    </w:p>
    <w:p w:rsidR="0088150A" w:rsidRPr="00C10A99" w:rsidRDefault="0088150A" w:rsidP="00F0060F">
      <w:pPr>
        <w:spacing w:before="120"/>
        <w:ind w:left="567" w:right="567"/>
      </w:pPr>
      <w:r w:rsidRPr="00C10A99">
        <w:rPr>
          <w:b/>
          <w:bCs/>
        </w:rPr>
        <w:lastRenderedPageBreak/>
        <w:t xml:space="preserve">Objective </w:t>
      </w:r>
      <w:r>
        <w:rPr>
          <w:b/>
          <w:bCs/>
        </w:rPr>
        <w:t>5</w:t>
      </w:r>
      <w:r w:rsidRPr="00C10A99">
        <w:rPr>
          <w:b/>
          <w:bCs/>
        </w:rPr>
        <w:t>:</w:t>
      </w:r>
      <w:r w:rsidRPr="00C10A99">
        <w:t xml:space="preserve"> </w:t>
      </w:r>
      <w:r>
        <w:t>People</w:t>
      </w:r>
      <w:r w:rsidRPr="00C10A99">
        <w:t xml:space="preserve"> understand and acknowledge the range of gambling harms that affect individuals, families</w:t>
      </w:r>
      <w:r w:rsidR="00762F08">
        <w:t xml:space="preserve">, </w:t>
      </w:r>
      <w:r w:rsidRPr="00C10A99">
        <w:t>whānau and communities.</w:t>
      </w:r>
    </w:p>
    <w:p w:rsidR="0088150A" w:rsidRPr="00C10A99" w:rsidRDefault="0088150A" w:rsidP="00F0060F">
      <w:pPr>
        <w:spacing w:before="120"/>
        <w:ind w:left="567" w:right="567"/>
      </w:pPr>
      <w:r w:rsidRPr="00C10A99">
        <w:rPr>
          <w:b/>
          <w:bCs/>
        </w:rPr>
        <w:t>Objective 6:</w:t>
      </w:r>
      <w:r w:rsidRPr="00C10A99">
        <w:t xml:space="preserve"> A skilled workforce is developed to deliver effective services to prevent and minimise gambling harm.</w:t>
      </w:r>
    </w:p>
    <w:p w:rsidR="0088150A" w:rsidRPr="00F0060F" w:rsidRDefault="0088150A" w:rsidP="00F0060F">
      <w:pPr>
        <w:spacing w:before="120"/>
        <w:ind w:left="567" w:right="284"/>
        <w:rPr>
          <w:spacing w:val="-2"/>
        </w:rPr>
      </w:pPr>
      <w:r w:rsidRPr="00F0060F">
        <w:rPr>
          <w:b/>
          <w:bCs/>
          <w:spacing w:val="-2"/>
        </w:rPr>
        <w:t>Objective 7:</w:t>
      </w:r>
      <w:r w:rsidRPr="00F0060F">
        <w:rPr>
          <w:spacing w:val="-2"/>
        </w:rPr>
        <w:t xml:space="preserve"> Services enhance people</w:t>
      </w:r>
      <w:r w:rsidR="00A10EC0" w:rsidRPr="00F0060F">
        <w:rPr>
          <w:spacing w:val="-2"/>
        </w:rPr>
        <w:t>’</w:t>
      </w:r>
      <w:r w:rsidRPr="00F0060F">
        <w:rPr>
          <w:spacing w:val="-2"/>
        </w:rPr>
        <w:t>s mana and build life skills and resiliency to improve healthy choices that prevent and minimise gambling harm.</w:t>
      </w:r>
    </w:p>
    <w:p w:rsidR="0088150A" w:rsidRPr="00C10A99" w:rsidRDefault="0088150A" w:rsidP="00F0060F">
      <w:pPr>
        <w:spacing w:before="120"/>
        <w:ind w:left="567" w:right="567"/>
      </w:pPr>
      <w:r w:rsidRPr="00C10A99">
        <w:rPr>
          <w:b/>
          <w:bCs/>
        </w:rPr>
        <w:t>Objective 8</w:t>
      </w:r>
      <w:r w:rsidRPr="00C10A99">
        <w:t>: Gambling environments are designed to prevent and minimise gambling harm.</w:t>
      </w:r>
    </w:p>
    <w:p w:rsidR="0088150A" w:rsidRDefault="0088150A" w:rsidP="00F0060F">
      <w:pPr>
        <w:spacing w:before="120"/>
        <w:ind w:left="567" w:right="567"/>
      </w:pPr>
      <w:r w:rsidRPr="00C10A99">
        <w:rPr>
          <w:b/>
          <w:bCs/>
        </w:rPr>
        <w:t>Objective 9:</w:t>
      </w:r>
      <w:r w:rsidRPr="00C10A99">
        <w:t xml:space="preserve"> Services raise awareness about the </w:t>
      </w:r>
      <w:r>
        <w:t xml:space="preserve">signs and </w:t>
      </w:r>
      <w:r w:rsidRPr="00C10A99">
        <w:t>range of gambling harms that affect individuals, families</w:t>
      </w:r>
      <w:r w:rsidR="00F95E1C">
        <w:t xml:space="preserve">, </w:t>
      </w:r>
      <w:r w:rsidRPr="00C10A99">
        <w:t>whānau and communities</w:t>
      </w:r>
      <w:r>
        <w:t>, and how to respond</w:t>
      </w:r>
      <w:r w:rsidRPr="00C10A99">
        <w:t>.</w:t>
      </w:r>
    </w:p>
    <w:p w:rsidR="0088150A" w:rsidRPr="00C10A99" w:rsidRDefault="0088150A" w:rsidP="00F0060F">
      <w:pPr>
        <w:spacing w:before="120"/>
        <w:ind w:left="567" w:right="567"/>
      </w:pPr>
      <w:r w:rsidRPr="0012663D">
        <w:rPr>
          <w:b/>
        </w:rPr>
        <w:t>Objective 10:</w:t>
      </w:r>
      <w:r w:rsidRPr="0012663D">
        <w:t xml:space="preserve"> People access effective treatment and support services at the right time and place</w:t>
      </w:r>
      <w:r>
        <w:t>.</w:t>
      </w:r>
    </w:p>
    <w:p w:rsidR="0088150A" w:rsidRDefault="0088150A" w:rsidP="00F0060F">
      <w:pPr>
        <w:spacing w:before="120"/>
        <w:ind w:left="567" w:right="567"/>
      </w:pPr>
      <w:r w:rsidRPr="00C10A99">
        <w:rPr>
          <w:b/>
          <w:bCs/>
        </w:rPr>
        <w:t>Objective 11:</w:t>
      </w:r>
      <w:r w:rsidRPr="00C10A99">
        <w:t xml:space="preserve"> A programme of research and evaluation establishes an evidence base that underpins all activities to prevent and minimise</w:t>
      </w:r>
      <w:r>
        <w:t>s</w:t>
      </w:r>
      <w:r w:rsidRPr="00C10A99">
        <w:t xml:space="preserve"> gambling harm.</w:t>
      </w:r>
    </w:p>
    <w:p w:rsidR="0088150A" w:rsidRPr="008D414D" w:rsidRDefault="0088150A" w:rsidP="008D414D"/>
    <w:p w:rsidR="0088150A" w:rsidRPr="008D414D" w:rsidRDefault="0088150A" w:rsidP="008D414D">
      <w:r w:rsidRPr="008D414D">
        <w:t>Figure 4 shows how the strategic objectives described above contribute to the strategy</w:t>
      </w:r>
      <w:r w:rsidR="00A10EC0" w:rsidRPr="008D414D">
        <w:t>’</w:t>
      </w:r>
      <w:r w:rsidRPr="008D414D">
        <w:t>s key outcomes and goal.</w:t>
      </w:r>
    </w:p>
    <w:p w:rsidR="0088150A" w:rsidRPr="008D414D" w:rsidRDefault="0088150A" w:rsidP="008D414D"/>
    <w:p w:rsidR="0088150A" w:rsidRDefault="0088150A" w:rsidP="005A26D2">
      <w:pPr>
        <w:pStyle w:val="Figure"/>
      </w:pPr>
      <w:bookmarkStart w:id="52" w:name="_Toc516836145"/>
      <w:bookmarkStart w:id="53" w:name="_Toc529428319"/>
      <w:bookmarkStart w:id="54" w:name="_Toc4156646"/>
      <w:bookmarkStart w:id="55" w:name="_Toc7680400"/>
      <w:r w:rsidRPr="00227DDB">
        <w:t xml:space="preserve">Figure </w:t>
      </w:r>
      <w:r w:rsidR="004F666E">
        <w:rPr>
          <w:noProof/>
        </w:rPr>
        <w:fldChar w:fldCharType="begin"/>
      </w:r>
      <w:r w:rsidR="004F666E">
        <w:rPr>
          <w:noProof/>
        </w:rPr>
        <w:instrText xml:space="preserve"> SEQ Figure \* ARABIC </w:instrText>
      </w:r>
      <w:r w:rsidR="004F666E">
        <w:rPr>
          <w:noProof/>
        </w:rPr>
        <w:fldChar w:fldCharType="separate"/>
      </w:r>
      <w:r w:rsidR="0002049A">
        <w:rPr>
          <w:noProof/>
        </w:rPr>
        <w:t>4</w:t>
      </w:r>
      <w:r w:rsidR="004F666E">
        <w:rPr>
          <w:noProof/>
        </w:rPr>
        <w:fldChar w:fldCharType="end"/>
      </w:r>
      <w:r>
        <w:t>:</w:t>
      </w:r>
      <w:r w:rsidRPr="00227DDB">
        <w:t xml:space="preserve"> </w:t>
      </w:r>
      <w:r>
        <w:t>Framework for organising the s</w:t>
      </w:r>
      <w:r w:rsidRPr="00227DDB">
        <w:t xml:space="preserve">trategic </w:t>
      </w:r>
      <w:r>
        <w:t>objectives</w:t>
      </w:r>
      <w:bookmarkEnd w:id="52"/>
      <w:bookmarkEnd w:id="53"/>
      <w:bookmarkEnd w:id="54"/>
      <w:bookmarkEnd w:id="55"/>
    </w:p>
    <w:p w:rsidR="0088150A" w:rsidRDefault="0088150A" w:rsidP="008D414D">
      <w:r>
        <w:rPr>
          <w:noProof/>
          <w:lang w:eastAsia="en-NZ"/>
        </w:rPr>
        <w:drawing>
          <wp:inline distT="0" distB="0" distL="0" distR="0" wp14:anchorId="4111B455" wp14:editId="5F3FEB48">
            <wp:extent cx="5386647" cy="3679161"/>
            <wp:effectExtent l="0" t="0" r="5080" b="0"/>
            <wp:docPr id="8" name="Picture 1" title="Figure 4: Framework for organising the strategic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cstate="print">
                      <a:grayscl/>
                      <a:extLst>
                        <a:ext uri="{28A0092B-C50C-407E-A947-70E740481C1C}">
                          <a14:useLocalDpi xmlns:a14="http://schemas.microsoft.com/office/drawing/2010/main" val="0"/>
                        </a:ext>
                      </a:extLst>
                    </a:blip>
                    <a:stretch>
                      <a:fillRect/>
                    </a:stretch>
                  </pic:blipFill>
                  <pic:spPr>
                    <a:xfrm>
                      <a:off x="0" y="0"/>
                      <a:ext cx="5385273" cy="3678223"/>
                    </a:xfrm>
                    <a:prstGeom prst="rect">
                      <a:avLst/>
                    </a:prstGeom>
                  </pic:spPr>
                </pic:pic>
              </a:graphicData>
            </a:graphic>
          </wp:inline>
        </w:drawing>
      </w:r>
    </w:p>
    <w:p w:rsidR="0088150A" w:rsidRDefault="0088150A" w:rsidP="00F0060F"/>
    <w:p w:rsidR="0088150A" w:rsidRPr="00840803" w:rsidRDefault="0088150A" w:rsidP="00F0060F">
      <w:pPr>
        <w:pStyle w:val="Heading3"/>
        <w:numPr>
          <w:ilvl w:val="0"/>
          <w:numId w:val="0"/>
        </w:numPr>
      </w:pPr>
      <w:r w:rsidRPr="00252C71">
        <w:lastRenderedPageBreak/>
        <w:t xml:space="preserve">No substantive change to the </w:t>
      </w:r>
      <w:r>
        <w:t>11</w:t>
      </w:r>
      <w:r w:rsidRPr="00252C71">
        <w:t xml:space="preserve"> strategic objectives</w:t>
      </w:r>
    </w:p>
    <w:p w:rsidR="0088150A" w:rsidRDefault="0088150A" w:rsidP="00F0060F">
      <w:r>
        <w:t xml:space="preserve">The Ministry </w:t>
      </w:r>
      <w:r w:rsidR="009C410E">
        <w:t xml:space="preserve">has made </w:t>
      </w:r>
      <w:r>
        <w:t>n</w:t>
      </w:r>
      <w:r w:rsidRPr="00E312E8">
        <w:t xml:space="preserve">o substantive changes to the 11 strategic objectives. </w:t>
      </w:r>
      <w:r>
        <w:t>However, b</w:t>
      </w:r>
      <w:r w:rsidRPr="00E312E8">
        <w:t xml:space="preserve">ased on </w:t>
      </w:r>
      <w:r>
        <w:t xml:space="preserve">insights from the HLS 2016, it has included </w:t>
      </w:r>
      <w:r w:rsidRPr="00E312E8">
        <w:t xml:space="preserve">a focus on reducing inequalities and inequities in </w:t>
      </w:r>
      <w:r w:rsidR="00CE10F6">
        <w:t>o</w:t>
      </w:r>
      <w:r w:rsidRPr="00E312E8">
        <w:t>bjectives 9 and 10</w:t>
      </w:r>
      <w:r>
        <w:t>, and identified Asian</w:t>
      </w:r>
      <w:r w:rsidR="005337FA">
        <w:t xml:space="preserve"> people</w:t>
      </w:r>
      <w:r>
        <w:t xml:space="preserve">s as an at-risk group in </w:t>
      </w:r>
      <w:r w:rsidR="00CE10F6">
        <w:t>o</w:t>
      </w:r>
      <w:r>
        <w:t>bjective</w:t>
      </w:r>
      <w:r w:rsidR="00F0060F">
        <w:t> </w:t>
      </w:r>
      <w:r>
        <w:t>1</w:t>
      </w:r>
      <w:r w:rsidRPr="00E312E8">
        <w:t>.</w:t>
      </w:r>
    </w:p>
    <w:p w:rsidR="0088150A" w:rsidRPr="00C10A99" w:rsidRDefault="0088150A" w:rsidP="00F0060F">
      <w:pPr>
        <w:pStyle w:val="Heading2"/>
      </w:pPr>
      <w:bookmarkStart w:id="56" w:name="_Toc517090897"/>
      <w:bookmarkStart w:id="57" w:name="_Toc530487405"/>
      <w:bookmarkStart w:id="58" w:name="_Toc9239598"/>
      <w:r w:rsidRPr="00C10A99">
        <w:t>Outline of each of the strategic objectives</w:t>
      </w:r>
      <w:bookmarkEnd w:id="56"/>
      <w:bookmarkEnd w:id="57"/>
      <w:bookmarkEnd w:id="58"/>
    </w:p>
    <w:p w:rsidR="0088150A" w:rsidRPr="00E312E8" w:rsidRDefault="0088150A" w:rsidP="00F0060F">
      <w:r w:rsidRPr="00E312E8">
        <w:t>A more detailed description of the strategic objectives and the priority actions follows.</w:t>
      </w:r>
    </w:p>
    <w:p w:rsidR="0088150A" w:rsidRDefault="0088150A" w:rsidP="00F0060F"/>
    <w:p w:rsidR="0088150A" w:rsidRPr="00F0060F" w:rsidRDefault="0088150A" w:rsidP="00F0060F">
      <w:pPr>
        <w:rPr>
          <w:spacing w:val="-2"/>
        </w:rPr>
      </w:pPr>
      <w:r w:rsidRPr="00F0060F">
        <w:rPr>
          <w:spacing w:val="-2"/>
        </w:rPr>
        <w:t>The short-, medium- and long-term priorities for action have been altered; in particular:</w:t>
      </w:r>
    </w:p>
    <w:p w:rsidR="0088150A" w:rsidRPr="00C10A99" w:rsidRDefault="0088150A" w:rsidP="00F0060F">
      <w:pPr>
        <w:pStyle w:val="Bullet"/>
      </w:pPr>
      <w:r>
        <w:t xml:space="preserve">DIA activities that align with the strategic objectives </w:t>
      </w:r>
      <w:r w:rsidRPr="00C10A99">
        <w:t xml:space="preserve">are included, demonstrating </w:t>
      </w:r>
      <w:r>
        <w:t>DIA</w:t>
      </w:r>
      <w:r w:rsidR="00A10EC0">
        <w:t>’</w:t>
      </w:r>
      <w:r w:rsidRPr="00C10A99">
        <w:t xml:space="preserve">s increased focus on harm </w:t>
      </w:r>
      <w:r>
        <w:t xml:space="preserve">prevention and </w:t>
      </w:r>
      <w:r w:rsidRPr="00C10A99">
        <w:t>minimisation</w:t>
      </w:r>
    </w:p>
    <w:p w:rsidR="0088150A" w:rsidRDefault="0088150A" w:rsidP="00F0060F">
      <w:pPr>
        <w:pStyle w:val="Bullet"/>
      </w:pPr>
      <w:r w:rsidRPr="00C10A99">
        <w:t>the underlying principles supporting each strategic objective have been updated to reflect the key strategic themes of the New Zealand Health Strategy</w:t>
      </w:r>
      <w:r>
        <w:t xml:space="preserve"> (Ministry of Health 2016)</w:t>
      </w:r>
    </w:p>
    <w:p w:rsidR="00A10EC0" w:rsidRDefault="0088150A" w:rsidP="00F0060F">
      <w:pPr>
        <w:pStyle w:val="Bullet"/>
      </w:pPr>
      <w:r w:rsidRPr="00C10A99">
        <w:t>new priority actions have been included</w:t>
      </w:r>
      <w:r>
        <w:t xml:space="preserve"> to address areas highlighted in the strategic overview, the needs assessment and submissions</w:t>
      </w:r>
    </w:p>
    <w:p w:rsidR="0088150A" w:rsidRPr="00C10A99" w:rsidRDefault="0088150A" w:rsidP="00F0060F">
      <w:pPr>
        <w:pStyle w:val="Bullet"/>
      </w:pPr>
      <w:r w:rsidRPr="00C10A99">
        <w:t xml:space="preserve">some language has been updated from the previous </w:t>
      </w:r>
      <w:r>
        <w:t>s</w:t>
      </w:r>
      <w:r w:rsidRPr="00C10A99">
        <w:t xml:space="preserve">trategic </w:t>
      </w:r>
      <w:r>
        <w:t>p</w:t>
      </w:r>
      <w:r w:rsidRPr="00C10A99">
        <w:t>lan</w:t>
      </w:r>
      <w:r>
        <w:t>,</w:t>
      </w:r>
      <w:r w:rsidRPr="00C10A99">
        <w:t xml:space="preserve"> and</w:t>
      </w:r>
      <w:r>
        <w:t>,</w:t>
      </w:r>
      <w:r w:rsidRPr="00C10A99">
        <w:t xml:space="preserve"> in other cases</w:t>
      </w:r>
      <w:r>
        <w:t>,</w:t>
      </w:r>
      <w:r w:rsidRPr="00C10A99">
        <w:t xml:space="preserve"> some slight alterations have been made to the language</w:t>
      </w:r>
      <w:r>
        <w:t xml:space="preserve"> for consistency or clarity, or to better reflect current practice</w:t>
      </w:r>
      <w:r w:rsidRPr="00C10A99">
        <w:t>.</w:t>
      </w:r>
    </w:p>
    <w:p w:rsidR="0088150A" w:rsidRDefault="0088150A" w:rsidP="00F0060F"/>
    <w:p w:rsidR="0088150A" w:rsidRPr="00F0060F" w:rsidRDefault="0088150A" w:rsidP="00F0060F">
      <w:r>
        <w:rPr>
          <w:rFonts w:cs="Arial"/>
          <w:bCs/>
        </w:rPr>
        <w:t>S</w:t>
      </w:r>
      <w:r w:rsidRPr="00C10A99">
        <w:rPr>
          <w:rFonts w:cs="Arial"/>
          <w:bCs/>
        </w:rPr>
        <w:t>ection</w:t>
      </w:r>
      <w:r>
        <w:rPr>
          <w:rFonts w:cs="Arial"/>
          <w:bCs/>
        </w:rPr>
        <w:t xml:space="preserve">s </w:t>
      </w:r>
      <w:r w:rsidR="00E17EA6">
        <w:rPr>
          <w:rFonts w:cs="Arial"/>
          <w:bCs/>
        </w:rPr>
        <w:t>2.12</w:t>
      </w:r>
      <w:r>
        <w:rPr>
          <w:rFonts w:cs="Arial"/>
          <w:bCs/>
        </w:rPr>
        <w:t xml:space="preserve"> and </w:t>
      </w:r>
      <w:r w:rsidR="00E17EA6">
        <w:rPr>
          <w:rFonts w:cs="Arial"/>
          <w:bCs/>
        </w:rPr>
        <w:t xml:space="preserve">2.13 </w:t>
      </w:r>
      <w:r>
        <w:rPr>
          <w:rFonts w:cs="Arial"/>
          <w:bCs/>
        </w:rPr>
        <w:t>below compare this strategy</w:t>
      </w:r>
      <w:r w:rsidR="00A10EC0">
        <w:rPr>
          <w:rFonts w:cs="Arial"/>
          <w:bCs/>
        </w:rPr>
        <w:t>’</w:t>
      </w:r>
      <w:r>
        <w:rPr>
          <w:rFonts w:cs="Arial"/>
          <w:bCs/>
        </w:rPr>
        <w:t xml:space="preserve">s </w:t>
      </w:r>
      <w:r w:rsidRPr="00C10A99">
        <w:rPr>
          <w:rFonts w:cs="Arial"/>
          <w:bCs/>
        </w:rPr>
        <w:t xml:space="preserve">alignment with </w:t>
      </w:r>
      <w:hyperlink r:id="rId37" w:history="1">
        <w:r w:rsidRPr="00F0060F">
          <w:rPr>
            <w:rFonts w:eastAsia="MS Gothic"/>
          </w:rPr>
          <w:t>He Korowai Oranga</w:t>
        </w:r>
      </w:hyperlink>
      <w:r w:rsidRPr="00F0060F">
        <w:t xml:space="preserve"> and </w:t>
      </w:r>
      <w:hyperlink r:id="rId38" w:history="1">
        <w:r w:rsidR="00331D74">
          <w:rPr>
            <w:rFonts w:eastAsia="MS Gothic"/>
            <w:i/>
          </w:rPr>
          <w:t>‘Ala</w:t>
        </w:r>
        <w:r w:rsidRPr="00F0060F">
          <w:rPr>
            <w:rFonts w:eastAsia="MS Gothic"/>
            <w:i/>
          </w:rPr>
          <w:t xml:space="preserve"> Mo</w:t>
        </w:r>
        <w:r w:rsidR="00A10EC0" w:rsidRPr="00F0060F">
          <w:rPr>
            <w:rFonts w:eastAsia="MS Gothic"/>
            <w:i/>
          </w:rPr>
          <w:t>’</w:t>
        </w:r>
        <w:r w:rsidRPr="00F0060F">
          <w:rPr>
            <w:rFonts w:eastAsia="MS Gothic"/>
            <w:i/>
          </w:rPr>
          <w:t>ui: Pathways to Pacific Health and Wellbeing</w:t>
        </w:r>
        <w:r w:rsidR="00E17EA6">
          <w:rPr>
            <w:rFonts w:eastAsia="MS Gothic"/>
            <w:i/>
          </w:rPr>
          <w:t xml:space="preserve"> </w:t>
        </w:r>
        <w:r w:rsidR="00E17EA6" w:rsidRPr="00A710BB">
          <w:rPr>
            <w:rFonts w:eastAsia="MS Gothic"/>
          </w:rPr>
          <w:t>respectively</w:t>
        </w:r>
        <w:r w:rsidRPr="00E17EA6">
          <w:rPr>
            <w:rFonts w:eastAsia="MS Gothic"/>
          </w:rPr>
          <w:t>.</w:t>
        </w:r>
      </w:hyperlink>
    </w:p>
    <w:p w:rsidR="0088150A" w:rsidRPr="00C10A99" w:rsidRDefault="0088150A" w:rsidP="00F0060F"/>
    <w:p w:rsidR="0088150A" w:rsidRPr="00EB1F02" w:rsidRDefault="0088150A" w:rsidP="00F0060F">
      <w:pPr>
        <w:pStyle w:val="Heading3"/>
        <w:numPr>
          <w:ilvl w:val="0"/>
          <w:numId w:val="0"/>
        </w:numPr>
      </w:pPr>
      <w:r w:rsidRPr="00EB1F02">
        <w:t>Objective 1:</w:t>
      </w:r>
      <w:r>
        <w:t xml:space="preserve"> </w:t>
      </w:r>
      <w:r w:rsidRPr="00EB1F02">
        <w:t>There is a reduction in gambling-harm-related inequities</w:t>
      </w:r>
      <w:r>
        <w:t xml:space="preserve"> between population groups</w:t>
      </w:r>
    </w:p>
    <w:p w:rsidR="0088150A" w:rsidRPr="00C10A99" w:rsidRDefault="0088150A" w:rsidP="00F0060F">
      <w:r w:rsidRPr="00C10A99">
        <w:t xml:space="preserve">The </w:t>
      </w:r>
      <w:r>
        <w:t xml:space="preserve">Ministry </w:t>
      </w:r>
      <w:r w:rsidR="009C410E">
        <w:t>will</w:t>
      </w:r>
      <w:r>
        <w:t xml:space="preserve"> enhance its focus </w:t>
      </w:r>
      <w:r w:rsidRPr="00C10A99">
        <w:t xml:space="preserve">on reducing avoidable differences in levels of gambling harm, and the determinants of gambling harm, among different population groups. </w:t>
      </w:r>
      <w:r>
        <w:t xml:space="preserve">The </w:t>
      </w:r>
      <w:r w:rsidRPr="00C10A99">
        <w:t>population health approach will continue to target at-risk populations, including Māori, Pacific peoples</w:t>
      </w:r>
      <w:r>
        <w:t>,</w:t>
      </w:r>
      <w:r w:rsidRPr="00C10A99">
        <w:t xml:space="preserve"> segments of the Asian population and those living in higher</w:t>
      </w:r>
      <w:r>
        <w:t>-</w:t>
      </w:r>
      <w:r w:rsidRPr="00C10A99">
        <w:t>deprivation areas. The Ministry will also continue to monitor and address gambling-harm-related issues among other key groups, such as youth.</w:t>
      </w:r>
    </w:p>
    <w:p w:rsidR="0088150A" w:rsidRDefault="0088150A" w:rsidP="00F0060F"/>
    <w:p w:rsidR="0088150A" w:rsidRDefault="0088150A" w:rsidP="0088150A">
      <w:r w:rsidRPr="00C10A99">
        <w:t>Th</w:t>
      </w:r>
      <w:r w:rsidRPr="00F0060F">
        <w:t>e</w:t>
      </w:r>
      <w:r w:rsidRPr="00C10A99">
        <w:t xml:space="preserve"> Ministry will ensure that dedicated Māori, Pacific and Asian services are available where appropriate, and that all services are </w:t>
      </w:r>
      <w:r>
        <w:t xml:space="preserve">accessible; provide appropriate language support; and are </w:t>
      </w:r>
      <w:r w:rsidRPr="00C10A99">
        <w:t xml:space="preserve">culturally </w:t>
      </w:r>
      <w:r>
        <w:t xml:space="preserve">relevant, </w:t>
      </w:r>
      <w:r w:rsidRPr="00C10A99">
        <w:t>health literate, high quality and effective</w:t>
      </w:r>
      <w:r>
        <w:t>, with</w:t>
      </w:r>
      <w:r w:rsidRPr="00301AC6">
        <w:t xml:space="preserve"> </w:t>
      </w:r>
      <w:r>
        <w:t xml:space="preserve">culturally </w:t>
      </w:r>
      <w:r w:rsidRPr="00C10A99">
        <w:t>competent</w:t>
      </w:r>
      <w:r>
        <w:t xml:space="preserve"> staff</w:t>
      </w:r>
      <w:r w:rsidRPr="00C10A99">
        <w:t>. It will also identify factors that contribute to gambling</w:t>
      </w:r>
      <w:r w:rsidR="00463490">
        <w:t>-</w:t>
      </w:r>
      <w:r w:rsidRPr="00C10A99">
        <w:t>harm-related inequities and develop, pilot, evaluate and implement one or more initiatives specifically focused on reducing these inequities.</w:t>
      </w:r>
    </w:p>
    <w:p w:rsidR="0088150A" w:rsidRDefault="0088150A" w:rsidP="00F0060F"/>
    <w:p w:rsidR="00A10EC0" w:rsidRDefault="0088150A" w:rsidP="00F0060F">
      <w:r>
        <w:lastRenderedPageBreak/>
        <w:t>Other specific groups at risk of harm include international students (primarily from Asia) and youth (particularly in terms of risk through online gambling and gaming convergence) and children.</w:t>
      </w:r>
    </w:p>
    <w:p w:rsidR="003F217A" w:rsidRDefault="003F217A" w:rsidP="00F0060F"/>
    <w:p w:rsidR="0088150A" w:rsidRPr="00D63EC6" w:rsidRDefault="0088150A" w:rsidP="00F0060F">
      <w:pPr>
        <w:pStyle w:val="Table"/>
      </w:pPr>
      <w:bookmarkStart w:id="59" w:name="_Toc514838689"/>
      <w:bookmarkStart w:id="60" w:name="_Toc517091226"/>
      <w:bookmarkStart w:id="61" w:name="_Toc530487424"/>
      <w:bookmarkStart w:id="62" w:name="_Toc4156619"/>
      <w:bookmarkStart w:id="63" w:name="_Toc8398919"/>
      <w:r w:rsidRPr="00C10A99">
        <w:t xml:space="preserve">Table </w:t>
      </w:r>
      <w:r w:rsidRPr="004A1981">
        <w:fldChar w:fldCharType="begin"/>
      </w:r>
      <w:r w:rsidRPr="00C10A99">
        <w:instrText xml:space="preserve"> SEQ Table \* ARABIC </w:instrText>
      </w:r>
      <w:r w:rsidRPr="004A1981">
        <w:fldChar w:fldCharType="separate"/>
      </w:r>
      <w:r w:rsidR="0002049A">
        <w:rPr>
          <w:noProof/>
        </w:rPr>
        <w:t>1</w:t>
      </w:r>
      <w:r w:rsidRPr="004A1981">
        <w:fldChar w:fldCharType="end"/>
      </w:r>
      <w:r w:rsidRPr="00C10A99">
        <w:t>: Objective 1</w:t>
      </w:r>
      <w:r>
        <w:t xml:space="preserve"> p</w:t>
      </w:r>
      <w:r w:rsidRPr="00C10A99">
        <w:t>riorities for action</w:t>
      </w:r>
      <w:bookmarkEnd w:id="59"/>
      <w:bookmarkEnd w:id="60"/>
      <w:bookmarkEnd w:id="61"/>
      <w:bookmarkEnd w:id="62"/>
      <w:bookmarkEnd w:id="63"/>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91"/>
        <w:gridCol w:w="3991"/>
      </w:tblGrid>
      <w:tr w:rsidR="0088150A" w:rsidRPr="00F0060F" w:rsidTr="003608D7">
        <w:trPr>
          <w:cantSplit/>
        </w:trPr>
        <w:tc>
          <w:tcPr>
            <w:tcW w:w="5000" w:type="pct"/>
            <w:gridSpan w:val="2"/>
            <w:tcBorders>
              <w:left w:val="nil"/>
              <w:bottom w:val="single" w:sz="4" w:space="0" w:color="auto"/>
              <w:right w:val="nil"/>
            </w:tcBorders>
            <w:shd w:val="clear" w:color="auto" w:fill="000000" w:themeFill="text1"/>
          </w:tcPr>
          <w:p w:rsidR="0088150A" w:rsidRPr="00F0060F" w:rsidRDefault="0088150A" w:rsidP="00F0060F">
            <w:pPr>
              <w:pStyle w:val="TableText"/>
              <w:rPr>
                <w:b/>
                <w:spacing w:val="-4"/>
              </w:rPr>
            </w:pPr>
            <w:r w:rsidRPr="00F0060F">
              <w:rPr>
                <w:b/>
                <w:spacing w:val="-4"/>
              </w:rPr>
              <w:t>Objective 1: There is a reduction in gambling-harm-related inequities between population groups</w:t>
            </w:r>
          </w:p>
        </w:tc>
      </w:tr>
      <w:tr w:rsidR="0088150A" w:rsidRPr="00F0060F" w:rsidTr="003608D7">
        <w:trPr>
          <w:cantSplit/>
        </w:trPr>
        <w:tc>
          <w:tcPr>
            <w:tcW w:w="5000" w:type="pct"/>
            <w:gridSpan w:val="2"/>
            <w:tcBorders>
              <w:top w:val="single" w:sz="4" w:space="0" w:color="auto"/>
              <w:left w:val="nil"/>
              <w:bottom w:val="nil"/>
              <w:right w:val="nil"/>
            </w:tcBorders>
            <w:shd w:val="clear" w:color="auto" w:fill="D9D9D9" w:themeFill="background1" w:themeFillShade="D9"/>
          </w:tcPr>
          <w:p w:rsidR="0088150A" w:rsidRPr="00F0060F" w:rsidRDefault="0088150A" w:rsidP="00F0060F">
            <w:pPr>
              <w:pStyle w:val="TableText"/>
              <w:jc w:val="center"/>
              <w:rPr>
                <w:b/>
              </w:rPr>
            </w:pPr>
            <w:r w:rsidRPr="00F0060F">
              <w:rPr>
                <w:b/>
              </w:rPr>
              <w:t>Priorities for action</w:t>
            </w:r>
          </w:p>
        </w:tc>
      </w:tr>
      <w:tr w:rsidR="0088150A" w:rsidRPr="00F0060F" w:rsidTr="003608D7">
        <w:trPr>
          <w:cantSplit/>
        </w:trPr>
        <w:tc>
          <w:tcPr>
            <w:tcW w:w="2500" w:type="pct"/>
            <w:tcBorders>
              <w:top w:val="nil"/>
              <w:left w:val="nil"/>
              <w:bottom w:val="single" w:sz="4" w:space="0" w:color="auto"/>
              <w:right w:val="nil"/>
            </w:tcBorders>
            <w:shd w:val="clear" w:color="auto" w:fill="auto"/>
          </w:tcPr>
          <w:p w:rsidR="0088150A" w:rsidRPr="00F0060F" w:rsidRDefault="0088150A" w:rsidP="00F0060F">
            <w:pPr>
              <w:pStyle w:val="TableText"/>
              <w:jc w:val="center"/>
              <w:rPr>
                <w:b/>
              </w:rPr>
            </w:pPr>
            <w:r w:rsidRPr="00F0060F">
              <w:rPr>
                <w:b/>
              </w:rPr>
              <w:t>Short- to medium-term priorities</w:t>
            </w:r>
          </w:p>
        </w:tc>
        <w:tc>
          <w:tcPr>
            <w:tcW w:w="2500" w:type="pct"/>
            <w:tcBorders>
              <w:top w:val="nil"/>
              <w:left w:val="nil"/>
              <w:bottom w:val="single" w:sz="4" w:space="0" w:color="auto"/>
              <w:right w:val="nil"/>
            </w:tcBorders>
            <w:shd w:val="clear" w:color="auto" w:fill="auto"/>
          </w:tcPr>
          <w:p w:rsidR="0088150A" w:rsidRPr="00F0060F" w:rsidRDefault="0088150A" w:rsidP="00F0060F">
            <w:pPr>
              <w:pStyle w:val="TableText"/>
              <w:jc w:val="center"/>
              <w:rPr>
                <w:b/>
              </w:rPr>
            </w:pPr>
            <w:r w:rsidRPr="00F0060F">
              <w:rPr>
                <w:b/>
              </w:rPr>
              <w:t>Long-term priorities</w:t>
            </w:r>
          </w:p>
        </w:tc>
      </w:tr>
      <w:tr w:rsidR="0088150A" w:rsidRPr="008807D4" w:rsidTr="00F0060F">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Pr="000B2E75" w:rsidRDefault="0088150A" w:rsidP="00E55431">
            <w:pPr>
              <w:pStyle w:val="TableText"/>
              <w:rPr>
                <w:highlight w:val="yellow"/>
              </w:rPr>
            </w:pPr>
            <w:r w:rsidRPr="000B2E75">
              <w:t>Provide and monitor dedicated services for Māori, Pacific and Asian peoples where appropriate, including services for gamblers</w:t>
            </w:r>
            <w:r w:rsidR="009C5BBD">
              <w:t xml:space="preserve"> and</w:t>
            </w:r>
            <w:r>
              <w:t xml:space="preserve"> </w:t>
            </w:r>
            <w:r w:rsidRPr="000B2E75">
              <w:t>their families</w:t>
            </w:r>
            <w:r w:rsidR="009C5BBD">
              <w:t xml:space="preserve">, </w:t>
            </w:r>
            <w:r>
              <w:t>whanau and communities</w:t>
            </w:r>
            <w:r w:rsidRPr="000B2E75">
              <w:t>.</w:t>
            </w:r>
          </w:p>
        </w:tc>
      </w:tr>
      <w:tr w:rsidR="00F0060F" w:rsidRPr="008807D4" w:rsidTr="00F0060F">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F0060F" w:rsidRPr="000B2E75" w:rsidRDefault="00F0060F" w:rsidP="00F0060F">
            <w:pPr>
              <w:pStyle w:val="TableText"/>
            </w:pPr>
            <w:r w:rsidRPr="000B2E75">
              <w:t>Ensure that all services provided to prevent and minimise gambling harm are culturally appropriate and all services are health literate, high quality and effective.</w:t>
            </w:r>
          </w:p>
        </w:tc>
      </w:tr>
      <w:tr w:rsidR="0088150A" w:rsidRPr="008807D4"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0B2E75" w:rsidRDefault="0088150A" w:rsidP="00F0060F">
            <w:pPr>
              <w:pStyle w:val="TableText"/>
              <w:rPr>
                <w:highlight w:val="yellow"/>
              </w:rPr>
            </w:pPr>
            <w:r w:rsidRPr="000B2E75">
              <w:t>Continue monitoring gambling</w:t>
            </w:r>
            <w:r w:rsidR="00463490">
              <w:t>-</w:t>
            </w:r>
            <w:r w:rsidRPr="000B2E75">
              <w:t>harm-related inequities (eg, the disproportionate prevalence of harm within some populations) and identify factors that contribute to these inequities (eg, differences in the gambling environment by geographical area).</w:t>
            </w:r>
          </w:p>
        </w:tc>
      </w:tr>
      <w:tr w:rsidR="0088150A" w:rsidRPr="008807D4" w:rsidTr="003608D7">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88150A" w:rsidRPr="000B2E75" w:rsidRDefault="0088150A" w:rsidP="00F0060F">
            <w:pPr>
              <w:pStyle w:val="TableText"/>
            </w:pPr>
            <w:r w:rsidRPr="000B2E75">
              <w:t>Develop, pilot, evaluate and implement one or more initiatives specifically focused on reducing gambling</w:t>
            </w:r>
            <w:r w:rsidR="00463490">
              <w:t>-</w:t>
            </w:r>
            <w:r w:rsidRPr="000B2E75">
              <w:t>harm-related inequities, particularly among Māori</w:t>
            </w:r>
            <w:r>
              <w:t>,</w:t>
            </w:r>
            <w:r w:rsidRPr="000B2E75">
              <w:t xml:space="preserve"> Pacific </w:t>
            </w:r>
            <w:r>
              <w:t xml:space="preserve">and Asian </w:t>
            </w:r>
            <w:r w:rsidRPr="000B2E75">
              <w:t>peoples</w:t>
            </w:r>
          </w:p>
        </w:tc>
      </w:tr>
    </w:tbl>
    <w:p w:rsidR="0088150A" w:rsidRDefault="0088150A" w:rsidP="00F0060F"/>
    <w:p w:rsidR="0088150A" w:rsidRPr="00E312E8" w:rsidRDefault="0088150A" w:rsidP="00F0060F">
      <w:pPr>
        <w:pStyle w:val="Heading4"/>
      </w:pPr>
      <w:r w:rsidRPr="00E312E8">
        <w:t xml:space="preserve">Underlying principles: </w:t>
      </w:r>
      <w:r>
        <w:t>value and high performance</w:t>
      </w:r>
      <w:r w:rsidRPr="00E312E8">
        <w:t>/</w:t>
      </w:r>
      <w:r>
        <w:t>te whāinga hua me te tika o ngā mahi</w:t>
      </w:r>
    </w:p>
    <w:p w:rsidR="0088150A" w:rsidRDefault="0088150A" w:rsidP="00507077">
      <w:r>
        <w:t>We need to do better for the population groups that do not enjoy the same health as the general New Zealand population. In relation to gambling harm, these groups include Māori and Pacific peoples and the growing Asian population in particular. To achieve better outcomes, our focus must be on removing barriers to delivering high-quality health services, including cultural, language, physical and financial barriers. The Ministry will consider tailoring services so that they are available in more accessible places or at more suitable times and are delivered in more culturally appropriate ways.</w:t>
      </w:r>
    </w:p>
    <w:p w:rsidR="0088150A" w:rsidRDefault="0088150A" w:rsidP="00507077"/>
    <w:p w:rsidR="0088150A" w:rsidRDefault="0088150A" w:rsidP="00525756">
      <w:r>
        <w:t xml:space="preserve">The Health Quality </w:t>
      </w:r>
      <w:r w:rsidR="00525756">
        <w:t xml:space="preserve">&amp; </w:t>
      </w:r>
      <w:r>
        <w:t>Safety Commission</w:t>
      </w:r>
      <w:r w:rsidR="00A10EC0">
        <w:t>’</w:t>
      </w:r>
      <w:r>
        <w:t xml:space="preserve">s Triple Aim framework provides a systems approach to improving the quality of health services for individuals and populations. It can help us balance our goals to </w:t>
      </w:r>
      <w:r w:rsidRPr="00776246">
        <w:t xml:space="preserve">achieve the New Zealand Triple Aim of </w:t>
      </w:r>
      <w:r>
        <w:t>improved health and equity for all populations; improved quality, safety and experience of care; and best value for public resources.</w:t>
      </w:r>
    </w:p>
    <w:p w:rsidR="0088150A" w:rsidRPr="00E312E8" w:rsidRDefault="0088150A" w:rsidP="00F0060F">
      <w:pPr>
        <w:pStyle w:val="Heading3"/>
        <w:numPr>
          <w:ilvl w:val="0"/>
          <w:numId w:val="0"/>
        </w:numPr>
      </w:pPr>
      <w:r w:rsidRPr="00C10A99">
        <w:t>Objective 2:</w:t>
      </w:r>
      <w:r>
        <w:t xml:space="preserve"> </w:t>
      </w:r>
      <w:r w:rsidRPr="00E312E8">
        <w:t>Māori have healthier futures</w:t>
      </w:r>
    </w:p>
    <w:p w:rsidR="0088150A" w:rsidRPr="00E312E8" w:rsidRDefault="0088150A" w:rsidP="00F0060F">
      <w:r>
        <w:t xml:space="preserve">Objective 2 aims to improve </w:t>
      </w:r>
      <w:r w:rsidRPr="00E312E8">
        <w:t>Māori health through the prevention and minimisation of gambling harm</w:t>
      </w:r>
      <w:r>
        <w:t>. This o</w:t>
      </w:r>
      <w:r w:rsidRPr="00E312E8">
        <w:t xml:space="preserve">bjective reflects the relationship between the Crown and Māori under </w:t>
      </w:r>
      <w:r>
        <w:t>Te Tiriti o</w:t>
      </w:r>
      <w:r w:rsidRPr="00E312E8">
        <w:t xml:space="preserve"> Waitangi. It aligns with objective 1 and is supported by all the other objectives.</w:t>
      </w:r>
    </w:p>
    <w:p w:rsidR="0088150A" w:rsidRDefault="0088150A" w:rsidP="00F0060F"/>
    <w:p w:rsidR="00A10EC0" w:rsidRDefault="0088150A" w:rsidP="00F0060F">
      <w:r w:rsidRPr="00C10A99">
        <w:t>Th</w:t>
      </w:r>
      <w:r>
        <w:t xml:space="preserve">is objective </w:t>
      </w:r>
      <w:r w:rsidRPr="00C10A99">
        <w:t>recognises gambling</w:t>
      </w:r>
      <w:r w:rsidR="00463490">
        <w:t>-</w:t>
      </w:r>
      <w:r w:rsidRPr="00C10A99">
        <w:t xml:space="preserve">harm-related inequities both for Māori </w:t>
      </w:r>
      <w:r>
        <w:t xml:space="preserve">as a population and within the </w:t>
      </w:r>
      <w:r w:rsidRPr="00C10A99">
        <w:t>Māori population group. For example, while the prevalence of moderate</w:t>
      </w:r>
      <w:r>
        <w:t>-</w:t>
      </w:r>
      <w:r w:rsidRPr="00C10A99">
        <w:t>risk</w:t>
      </w:r>
      <w:r>
        <w:t xml:space="preserve"> (</w:t>
      </w:r>
      <w:r w:rsidRPr="00C10A99">
        <w:t>problem</w:t>
      </w:r>
      <w:r>
        <w:t>)</w:t>
      </w:r>
      <w:r w:rsidRPr="00C10A99">
        <w:t xml:space="preserve"> gambling is relatively high for both Māori men and Māori women, Māori women are more likely</w:t>
      </w:r>
      <w:r>
        <w:t xml:space="preserve"> than </w:t>
      </w:r>
      <w:r w:rsidRPr="00C10A99">
        <w:t>Māori men</w:t>
      </w:r>
      <w:r>
        <w:t xml:space="preserve"> </w:t>
      </w:r>
      <w:r w:rsidRPr="00C10A99">
        <w:t>to experience harm from someone else</w:t>
      </w:r>
      <w:r w:rsidR="00A10EC0">
        <w:t>’</w:t>
      </w:r>
      <w:r w:rsidRPr="00C10A99">
        <w:t>s gambling</w:t>
      </w:r>
      <w:r>
        <w:t>.</w:t>
      </w:r>
    </w:p>
    <w:p w:rsidR="0088150A" w:rsidRDefault="0088150A" w:rsidP="00F0060F"/>
    <w:p w:rsidR="0088150A" w:rsidRPr="00C10A99" w:rsidRDefault="0088150A" w:rsidP="00F0060F">
      <w:r>
        <w:t>Th</w:t>
      </w:r>
      <w:r w:rsidRPr="00C10A99">
        <w:t xml:space="preserve">e Ministry </w:t>
      </w:r>
      <w:r>
        <w:t xml:space="preserve">also </w:t>
      </w:r>
      <w:r w:rsidRPr="00C10A99">
        <w:t xml:space="preserve">recognises the role Māori women have as the cornerstone of Whānau Ora and the likely implications of this </w:t>
      </w:r>
      <w:r w:rsidR="00463490">
        <w:t>for</w:t>
      </w:r>
      <w:r w:rsidR="00463490" w:rsidRPr="00C10A99">
        <w:t xml:space="preserve"> </w:t>
      </w:r>
      <w:r w:rsidRPr="00C10A99">
        <w:t xml:space="preserve">the wellbeing of rangatahi and tamariki, in particular </w:t>
      </w:r>
      <w:r>
        <w:t xml:space="preserve">regarding </w:t>
      </w:r>
      <w:r w:rsidRPr="00C10A99">
        <w:t>issues such as child poverty and access to sufficient safe, nutritious food.</w:t>
      </w:r>
    </w:p>
    <w:p w:rsidR="0088150A" w:rsidRDefault="0088150A" w:rsidP="00F0060F"/>
    <w:p w:rsidR="00A10EC0" w:rsidRDefault="0088150A" w:rsidP="00F0060F">
      <w:r w:rsidRPr="00C10A99">
        <w:t>The Ministry will enhance its focus on reducing avoidable differences in levels of gambling harm, and in the determinants of gambling harm, for Māori. The Ministry will also continue work to identify factors that contribute to gambling</w:t>
      </w:r>
      <w:r w:rsidR="00463490">
        <w:t>-</w:t>
      </w:r>
      <w:r w:rsidRPr="00C10A99">
        <w:t>harm-related inequities for Māori and to develop, pilot, evaluate and implement one or more initiatives specifically focused on reducing these inequities.</w:t>
      </w:r>
      <w:r>
        <w:t xml:space="preserve"> This may include piloting delivery models that incorporate te ao Māori and </w:t>
      </w:r>
      <w:hyperlink r:id="rId39" w:history="1">
        <w:r w:rsidRPr="00F0060F">
          <w:rPr>
            <w:rFonts w:eastAsia="MS Gothic"/>
          </w:rPr>
          <w:t>He Korowai Oranga</w:t>
        </w:r>
      </w:hyperlink>
      <w:r>
        <w:t>.</w:t>
      </w:r>
    </w:p>
    <w:p w:rsidR="0088150A" w:rsidRPr="00C10A99" w:rsidRDefault="0088150A" w:rsidP="00F0060F"/>
    <w:p w:rsidR="0088150A" w:rsidRPr="00D63EC6" w:rsidRDefault="0088150A" w:rsidP="00F0060F">
      <w:pPr>
        <w:pStyle w:val="Table"/>
      </w:pPr>
      <w:bookmarkStart w:id="64" w:name="_Toc517091227"/>
      <w:bookmarkStart w:id="65" w:name="_Toc514838690"/>
      <w:bookmarkStart w:id="66" w:name="_Toc530487425"/>
      <w:bookmarkStart w:id="67" w:name="_Toc4156620"/>
      <w:bookmarkStart w:id="68" w:name="_Toc8398920"/>
      <w:r w:rsidRPr="00C10A99">
        <w:t xml:space="preserve">Table </w:t>
      </w:r>
      <w:r w:rsidRPr="004A1981">
        <w:fldChar w:fldCharType="begin"/>
      </w:r>
      <w:r w:rsidRPr="00C10A99">
        <w:instrText xml:space="preserve"> SEQ Table \* ARABIC </w:instrText>
      </w:r>
      <w:r w:rsidRPr="004A1981">
        <w:fldChar w:fldCharType="separate"/>
      </w:r>
      <w:r w:rsidR="0002049A">
        <w:rPr>
          <w:noProof/>
        </w:rPr>
        <w:t>2</w:t>
      </w:r>
      <w:r w:rsidRPr="004A1981">
        <w:fldChar w:fldCharType="end"/>
      </w:r>
      <w:r w:rsidRPr="00C10A99">
        <w:t xml:space="preserve">: </w:t>
      </w:r>
      <w:r>
        <w:t>Objective 2 p</w:t>
      </w:r>
      <w:r w:rsidRPr="00C10A99">
        <w:t>riorities for action</w:t>
      </w:r>
      <w:bookmarkEnd w:id="64"/>
      <w:bookmarkEnd w:id="65"/>
      <w:bookmarkEnd w:id="66"/>
      <w:bookmarkEnd w:id="67"/>
      <w:bookmarkEnd w:id="68"/>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91"/>
        <w:gridCol w:w="3991"/>
      </w:tblGrid>
      <w:tr w:rsidR="0088150A" w:rsidRPr="00F0060F" w:rsidTr="003608D7">
        <w:trPr>
          <w:cantSplit/>
        </w:trPr>
        <w:tc>
          <w:tcPr>
            <w:tcW w:w="5000" w:type="pct"/>
            <w:gridSpan w:val="2"/>
            <w:tcBorders>
              <w:left w:val="nil"/>
              <w:bottom w:val="single" w:sz="4" w:space="0" w:color="auto"/>
              <w:right w:val="nil"/>
            </w:tcBorders>
            <w:shd w:val="clear" w:color="auto" w:fill="000000" w:themeFill="text1"/>
          </w:tcPr>
          <w:p w:rsidR="0088150A" w:rsidRPr="00F0060F" w:rsidRDefault="0088150A" w:rsidP="00F0060F">
            <w:pPr>
              <w:pStyle w:val="TableText"/>
              <w:keepNext/>
              <w:rPr>
                <w:b/>
              </w:rPr>
            </w:pPr>
            <w:r w:rsidRPr="00F0060F">
              <w:rPr>
                <w:b/>
              </w:rPr>
              <w:t>Objective 2: Māori have healthier futures, through the prevention and minimisation of gambling harm</w:t>
            </w:r>
          </w:p>
        </w:tc>
      </w:tr>
      <w:tr w:rsidR="0088150A" w:rsidRPr="00F0060F" w:rsidTr="003608D7">
        <w:trPr>
          <w:cantSplit/>
        </w:trPr>
        <w:tc>
          <w:tcPr>
            <w:tcW w:w="5000" w:type="pct"/>
            <w:gridSpan w:val="2"/>
            <w:tcBorders>
              <w:top w:val="single" w:sz="4" w:space="0" w:color="auto"/>
              <w:left w:val="nil"/>
              <w:bottom w:val="nil"/>
              <w:right w:val="nil"/>
            </w:tcBorders>
            <w:shd w:val="clear" w:color="auto" w:fill="D9D9D9" w:themeFill="background1" w:themeFillShade="D9"/>
          </w:tcPr>
          <w:p w:rsidR="0088150A" w:rsidRPr="00F0060F" w:rsidRDefault="0088150A" w:rsidP="00F0060F">
            <w:pPr>
              <w:pStyle w:val="TableText"/>
              <w:keepNext/>
              <w:jc w:val="center"/>
              <w:rPr>
                <w:b/>
              </w:rPr>
            </w:pPr>
            <w:r w:rsidRPr="00F0060F">
              <w:rPr>
                <w:b/>
              </w:rPr>
              <w:t>Priorities for action</w:t>
            </w:r>
          </w:p>
        </w:tc>
      </w:tr>
      <w:tr w:rsidR="0088150A" w:rsidRPr="00F0060F" w:rsidTr="003608D7">
        <w:trPr>
          <w:cantSplit/>
        </w:trPr>
        <w:tc>
          <w:tcPr>
            <w:tcW w:w="2500" w:type="pct"/>
            <w:tcBorders>
              <w:top w:val="nil"/>
              <w:left w:val="nil"/>
              <w:bottom w:val="single" w:sz="4" w:space="0" w:color="auto"/>
              <w:right w:val="nil"/>
            </w:tcBorders>
            <w:shd w:val="clear" w:color="auto" w:fill="auto"/>
          </w:tcPr>
          <w:p w:rsidR="0088150A" w:rsidRPr="00F0060F" w:rsidRDefault="0088150A" w:rsidP="00F0060F">
            <w:pPr>
              <w:pStyle w:val="TableText"/>
              <w:keepNext/>
              <w:jc w:val="center"/>
              <w:rPr>
                <w:b/>
              </w:rPr>
            </w:pPr>
            <w:r w:rsidRPr="00F0060F">
              <w:rPr>
                <w:b/>
              </w:rPr>
              <w:t>Short- to medium-term priorities</w:t>
            </w:r>
          </w:p>
        </w:tc>
        <w:tc>
          <w:tcPr>
            <w:tcW w:w="2500" w:type="pct"/>
            <w:tcBorders>
              <w:top w:val="nil"/>
              <w:left w:val="nil"/>
              <w:bottom w:val="single" w:sz="4" w:space="0" w:color="auto"/>
              <w:right w:val="nil"/>
            </w:tcBorders>
            <w:shd w:val="clear" w:color="auto" w:fill="auto"/>
          </w:tcPr>
          <w:p w:rsidR="0088150A" w:rsidRPr="00F0060F" w:rsidRDefault="0088150A" w:rsidP="00F0060F">
            <w:pPr>
              <w:pStyle w:val="TableText"/>
              <w:keepNext/>
              <w:jc w:val="center"/>
              <w:rPr>
                <w:b/>
              </w:rPr>
            </w:pPr>
            <w:r w:rsidRPr="00F0060F">
              <w:rPr>
                <w:b/>
              </w:rPr>
              <w:t>Long-term priorities</w:t>
            </w:r>
          </w:p>
        </w:tc>
      </w:tr>
      <w:tr w:rsidR="0088150A" w:rsidRPr="000B2E75" w:rsidTr="003608D7">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Pr="00522D2F" w:rsidRDefault="0088150A" w:rsidP="00F0060F">
            <w:pPr>
              <w:pStyle w:val="TableText"/>
              <w:keepNext/>
            </w:pPr>
            <w:r w:rsidRPr="00522D2F">
              <w:t>Continue providing dedicated services for Māori where appropriate, including services both for gamblers and for their families</w:t>
            </w:r>
            <w:r w:rsidR="009C5BBD">
              <w:t xml:space="preserve"> and </w:t>
            </w:r>
            <w:r>
              <w:t>whanau</w:t>
            </w:r>
            <w:r w:rsidRPr="00522D2F">
              <w:t>.</w:t>
            </w:r>
          </w:p>
        </w:tc>
      </w:tr>
      <w:tr w:rsidR="00F0060F" w:rsidRPr="000B2E75"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F0060F" w:rsidRPr="00522D2F" w:rsidRDefault="00F0060F" w:rsidP="00F0060F">
            <w:pPr>
              <w:pStyle w:val="TableText"/>
              <w:keepNext/>
            </w:pPr>
            <w:r w:rsidRPr="00522D2F">
              <w:t>Continue to ensure that the provision of all services to prevent and minimise gambling harm is culturally appropriate and ensure that all services are health-literate, high quality and effective.</w:t>
            </w:r>
          </w:p>
        </w:tc>
      </w:tr>
      <w:tr w:rsidR="0088150A" w:rsidRPr="000B2E75"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522D2F" w:rsidRDefault="0088150A" w:rsidP="00F0060F">
            <w:pPr>
              <w:pStyle w:val="TableText"/>
              <w:keepNext/>
            </w:pPr>
            <w:r w:rsidRPr="00522D2F">
              <w:t>Continue monitoring gambling-harm-related inequities for Māori (eg, disproportionate prevalence of harm among Māori) and identify factors that contribute to these inequities (eg, differences in the gambling environment by geographical area).</w:t>
            </w:r>
          </w:p>
        </w:tc>
      </w:tr>
      <w:tr w:rsidR="0088150A" w:rsidRPr="000B2E75"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522D2F" w:rsidRDefault="0088150A" w:rsidP="00F0060F">
            <w:pPr>
              <w:pStyle w:val="TableText"/>
            </w:pPr>
            <w:r w:rsidRPr="00522D2F">
              <w:rPr>
                <w:bCs/>
              </w:rPr>
              <w:t>Encourage all services to prevent and minimise gambling harm (both public health and intervention) to align with He Korowai Oranga, including through service design, and monitor the extent of that alignment.</w:t>
            </w:r>
          </w:p>
        </w:tc>
      </w:tr>
      <w:tr w:rsidR="0088150A" w:rsidRPr="000B2E75"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522D2F" w:rsidRDefault="0088150A" w:rsidP="005D10E0">
            <w:pPr>
              <w:pStyle w:val="TableText"/>
              <w:rPr>
                <w:bCs/>
              </w:rPr>
            </w:pPr>
            <w:r w:rsidRPr="00522D2F">
              <w:t xml:space="preserve">Maintain </w:t>
            </w:r>
            <w:r>
              <w:t xml:space="preserve">and improve </w:t>
            </w:r>
            <w:r w:rsidRPr="00522D2F">
              <w:t>mechanisms to support a Māori voice to provide advice to the Ministry and DIA on the prevention and minimisation of gambling harm</w:t>
            </w:r>
            <w:r>
              <w:t>, and in developing appropriate models of care and support</w:t>
            </w:r>
            <w:r w:rsidRPr="00522D2F">
              <w:t>.</w:t>
            </w:r>
          </w:p>
        </w:tc>
      </w:tr>
      <w:tr w:rsidR="0088150A" w:rsidRPr="000B2E75" w:rsidTr="003608D7">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88150A" w:rsidRPr="00522D2F" w:rsidRDefault="0088150A" w:rsidP="00F0060F">
            <w:pPr>
              <w:pStyle w:val="TableText"/>
            </w:pPr>
            <w:r w:rsidRPr="00522D2F">
              <w:t>Develop, pilot, evaluate and implement one or more initiatives specifically focused on reducing gambling-harm-related inequities for Māori.</w:t>
            </w:r>
          </w:p>
        </w:tc>
      </w:tr>
    </w:tbl>
    <w:p w:rsidR="0088150A" w:rsidRPr="00E312E8" w:rsidRDefault="0088150A" w:rsidP="002B4C78">
      <w:pPr>
        <w:pStyle w:val="Heading4"/>
        <w:spacing w:before="480"/>
      </w:pPr>
      <w:r w:rsidRPr="00E312E8">
        <w:t xml:space="preserve">Underlying principles: Pae </w:t>
      </w:r>
      <w:r>
        <w:t>O</w:t>
      </w:r>
      <w:r w:rsidRPr="00E312E8">
        <w:t>ra</w:t>
      </w:r>
      <w:r>
        <w:t xml:space="preserve"> – healthy futures</w:t>
      </w:r>
    </w:p>
    <w:p w:rsidR="0088150A" w:rsidRDefault="0088150A" w:rsidP="00F0060F">
      <w:r w:rsidRPr="00C10A99">
        <w:t xml:space="preserve">Pae </w:t>
      </w:r>
      <w:r>
        <w:t>O</w:t>
      </w:r>
      <w:r w:rsidRPr="00C10A99">
        <w:t>ra</w:t>
      </w:r>
      <w:r>
        <w:t xml:space="preserve"> – healthy futures</w:t>
      </w:r>
      <w:r w:rsidRPr="00C10A99">
        <w:t xml:space="preserve"> is the Government</w:t>
      </w:r>
      <w:r w:rsidR="00A10EC0">
        <w:t>’</w:t>
      </w:r>
      <w:r w:rsidRPr="00C10A99">
        <w:t xml:space="preserve">s vision for Māori health. It provides a platform for Māori to live with good health and wellbeing in an environment that supports a good quality of life. Pae </w:t>
      </w:r>
      <w:r>
        <w:t>O</w:t>
      </w:r>
      <w:r w:rsidRPr="00C10A99">
        <w:t>ra is a holistic concept</w:t>
      </w:r>
      <w:r>
        <w:t>,</w:t>
      </w:r>
      <w:r w:rsidRPr="00C10A99">
        <w:t xml:space="preserve"> and includes </w:t>
      </w:r>
      <w:r>
        <w:t>three</w:t>
      </w:r>
      <w:r w:rsidRPr="00C10A99">
        <w:t xml:space="preserve"> interconnected and mutually reinforcing elements: </w:t>
      </w:r>
      <w:r>
        <w:t>m</w:t>
      </w:r>
      <w:r w:rsidRPr="00C10A99">
        <w:t>auri ora – health</w:t>
      </w:r>
      <w:r>
        <w:t>y</w:t>
      </w:r>
      <w:r w:rsidRPr="00C10A99">
        <w:t xml:space="preserve"> individuals, </w:t>
      </w:r>
      <w:r>
        <w:t>w</w:t>
      </w:r>
      <w:r w:rsidRPr="00C10A99">
        <w:t>h</w:t>
      </w:r>
      <w:r>
        <w:t>ā</w:t>
      </w:r>
      <w:r w:rsidRPr="00C10A99">
        <w:t xml:space="preserve">nau ora – healthy families, and </w:t>
      </w:r>
      <w:r>
        <w:t>w</w:t>
      </w:r>
      <w:r w:rsidRPr="00C10A99">
        <w:t>ai ora – healthy environments.</w:t>
      </w:r>
    </w:p>
    <w:p w:rsidR="0088150A" w:rsidRPr="00E312E8" w:rsidRDefault="0088150A" w:rsidP="00F0060F">
      <w:pPr>
        <w:pStyle w:val="Heading3"/>
        <w:numPr>
          <w:ilvl w:val="0"/>
          <w:numId w:val="0"/>
        </w:numPr>
      </w:pPr>
      <w:r w:rsidRPr="00C10A99">
        <w:t>Objective 3:</w:t>
      </w:r>
      <w:r>
        <w:t xml:space="preserve"> </w:t>
      </w:r>
      <w:r w:rsidRPr="00E312E8">
        <w:t>People participate in decision-making about activities in their communities</w:t>
      </w:r>
    </w:p>
    <w:p w:rsidR="00A10EC0" w:rsidRDefault="0088150A" w:rsidP="00F0060F">
      <w:r w:rsidRPr="00E312E8">
        <w:t xml:space="preserve">Increased community awareness of gambling harm, grant distribution and related issues through public discussion and debate will continue to be a focus for this </w:t>
      </w:r>
      <w:r>
        <w:lastRenderedPageBreak/>
        <w:t>s</w:t>
      </w:r>
      <w:r w:rsidRPr="00E312E8">
        <w:t xml:space="preserve">trategic </w:t>
      </w:r>
      <w:r>
        <w:t>p</w:t>
      </w:r>
      <w:r w:rsidRPr="00E312E8">
        <w:t xml:space="preserve">lan. </w:t>
      </w:r>
      <w:r>
        <w:t>This objective acknowledges the important role of p</w:t>
      </w:r>
      <w:r w:rsidRPr="00E312E8">
        <w:t xml:space="preserve">eople </w:t>
      </w:r>
      <w:r>
        <w:t xml:space="preserve">and communities </w:t>
      </w:r>
      <w:r w:rsidRPr="00E312E8">
        <w:t>participat</w:t>
      </w:r>
      <w:r>
        <w:t xml:space="preserve">ing </w:t>
      </w:r>
      <w:r w:rsidRPr="00E312E8">
        <w:t>in decision-making about local activities that prevent and minimise gambling harm</w:t>
      </w:r>
      <w:r>
        <w:t>. It also recognises the important role of Māori in providing leadership in community decision-making.</w:t>
      </w:r>
    </w:p>
    <w:p w:rsidR="0088150A" w:rsidRDefault="0088150A" w:rsidP="00F0060F"/>
    <w:p w:rsidR="0088150A" w:rsidRDefault="0088150A" w:rsidP="00F0060F">
      <w:r w:rsidRPr="00E312E8">
        <w:t>The Ministry expects a high level of interaction among services</w:t>
      </w:r>
      <w:r w:rsidRPr="00C10A99">
        <w:t>, their client populations (particularly Māori</w:t>
      </w:r>
      <w:r>
        <w:t>, Asian and</w:t>
      </w:r>
      <w:r w:rsidRPr="00C10A99">
        <w:t xml:space="preserve"> Pacific peoples, as the populations that are most vulnerable to gambling harm), other public and mental health and addiction treatment services, and community groups</w:t>
      </w:r>
      <w:r w:rsidRPr="000B2E75">
        <w:t xml:space="preserve"> </w:t>
      </w:r>
      <w:r w:rsidRPr="00E312E8">
        <w:t>to prevent and minimise</w:t>
      </w:r>
      <w:r w:rsidRPr="00C10A99">
        <w:t xml:space="preserve"> gambling harm.</w:t>
      </w:r>
    </w:p>
    <w:p w:rsidR="0088150A" w:rsidRPr="00C10A99" w:rsidRDefault="0088150A" w:rsidP="00F0060F"/>
    <w:p w:rsidR="00A10EC0" w:rsidRPr="00F0060F" w:rsidRDefault="0088150A" w:rsidP="00F0060F">
      <w:pPr>
        <w:keepLines/>
        <w:rPr>
          <w:spacing w:val="-2"/>
        </w:rPr>
      </w:pPr>
      <w:r w:rsidRPr="00F0060F">
        <w:rPr>
          <w:spacing w:val="-2"/>
        </w:rPr>
        <w:t>The local government gambling venue policy process (set out in sections 101 to 102 of the Act) allows communities to address their councils and discuss the effectiveness of councils</w:t>
      </w:r>
      <w:r w:rsidR="00A10EC0" w:rsidRPr="00F0060F">
        <w:rPr>
          <w:spacing w:val="-2"/>
        </w:rPr>
        <w:t>’</w:t>
      </w:r>
      <w:r w:rsidRPr="00F0060F">
        <w:rPr>
          <w:spacing w:val="-2"/>
        </w:rPr>
        <w:t xml:space="preserve"> venue policies. This includes the availability and accessibility of class 4 gambling in the community. Community ownership and empowerment are important aspects of healthy and responsive communities, and are key aspects of a public health approach.</w:t>
      </w:r>
    </w:p>
    <w:p w:rsidR="0088150A" w:rsidRDefault="0088150A" w:rsidP="00F0060F"/>
    <w:p w:rsidR="00A10EC0" w:rsidRDefault="0088150A" w:rsidP="00F0060F">
      <w:r>
        <w:t>The Ministry and DIA play an important role in providing relevant</w:t>
      </w:r>
      <w:r w:rsidR="00463490">
        <w:t>,</w:t>
      </w:r>
      <w:r>
        <w:t xml:space="preserve"> timely information to communities, to empower them to participate effectively in decisions about their communities.</w:t>
      </w:r>
    </w:p>
    <w:p w:rsidR="0088150A" w:rsidRPr="00C10A99" w:rsidRDefault="0088150A" w:rsidP="002B4C78"/>
    <w:p w:rsidR="0088150A" w:rsidRPr="00C10A99" w:rsidRDefault="0088150A" w:rsidP="00F0060F">
      <w:pPr>
        <w:pStyle w:val="Table"/>
        <w:rPr>
          <w:sz w:val="16"/>
        </w:rPr>
      </w:pPr>
      <w:bookmarkStart w:id="69" w:name="_Toc514838691"/>
      <w:bookmarkStart w:id="70" w:name="_Toc517091228"/>
      <w:bookmarkStart w:id="71" w:name="_Toc530487426"/>
      <w:bookmarkStart w:id="72" w:name="_Toc4156621"/>
      <w:bookmarkStart w:id="73" w:name="_Toc8398921"/>
      <w:r w:rsidRPr="00C10A99">
        <w:t xml:space="preserve">Table </w:t>
      </w:r>
      <w:r w:rsidRPr="007F7BB3">
        <w:fldChar w:fldCharType="begin"/>
      </w:r>
      <w:r w:rsidRPr="00C10A99">
        <w:instrText xml:space="preserve"> SEQ Table \* ARABIC </w:instrText>
      </w:r>
      <w:r w:rsidRPr="007F7BB3">
        <w:fldChar w:fldCharType="separate"/>
      </w:r>
      <w:r w:rsidR="0002049A">
        <w:rPr>
          <w:noProof/>
        </w:rPr>
        <w:t>3</w:t>
      </w:r>
      <w:r w:rsidRPr="007F7BB3">
        <w:fldChar w:fldCharType="end"/>
      </w:r>
      <w:r w:rsidRPr="00C10A99">
        <w:t>: Objective 3</w:t>
      </w:r>
      <w:r>
        <w:t xml:space="preserve"> p</w:t>
      </w:r>
      <w:r w:rsidRPr="00C10A99">
        <w:t>riorities for action</w:t>
      </w:r>
      <w:bookmarkEnd w:id="69"/>
      <w:bookmarkEnd w:id="70"/>
      <w:bookmarkEnd w:id="71"/>
      <w:bookmarkEnd w:id="72"/>
      <w:bookmarkEnd w:id="73"/>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05"/>
        <w:gridCol w:w="3977"/>
      </w:tblGrid>
      <w:tr w:rsidR="0088150A" w:rsidRPr="00F0060F" w:rsidTr="003608D7">
        <w:trPr>
          <w:cantSplit/>
        </w:trPr>
        <w:tc>
          <w:tcPr>
            <w:tcW w:w="5000" w:type="pct"/>
            <w:gridSpan w:val="2"/>
            <w:tcBorders>
              <w:left w:val="nil"/>
              <w:bottom w:val="single" w:sz="4" w:space="0" w:color="auto"/>
              <w:right w:val="nil"/>
            </w:tcBorders>
            <w:shd w:val="clear" w:color="auto" w:fill="000000" w:themeFill="text1"/>
          </w:tcPr>
          <w:p w:rsidR="0088150A" w:rsidRPr="00F0060F" w:rsidRDefault="0088150A" w:rsidP="00F0060F">
            <w:pPr>
              <w:pStyle w:val="TableText"/>
              <w:rPr>
                <w:rFonts w:cs="Arial"/>
                <w:b/>
              </w:rPr>
            </w:pPr>
            <w:r w:rsidRPr="00F0060F">
              <w:rPr>
                <w:b/>
              </w:rPr>
              <w:t>Objective 3: People participate in decision-making about activities in their communities that prevent and minimise gambling harm</w:t>
            </w:r>
          </w:p>
        </w:tc>
      </w:tr>
      <w:tr w:rsidR="0088150A" w:rsidRPr="00F0060F" w:rsidTr="003608D7">
        <w:trPr>
          <w:cantSplit/>
        </w:trPr>
        <w:tc>
          <w:tcPr>
            <w:tcW w:w="5000" w:type="pct"/>
            <w:gridSpan w:val="2"/>
            <w:tcBorders>
              <w:top w:val="single" w:sz="4" w:space="0" w:color="auto"/>
              <w:left w:val="nil"/>
              <w:bottom w:val="nil"/>
              <w:right w:val="nil"/>
            </w:tcBorders>
            <w:shd w:val="clear" w:color="auto" w:fill="D9D9D9" w:themeFill="background1" w:themeFillShade="D9"/>
          </w:tcPr>
          <w:p w:rsidR="0088150A" w:rsidRPr="00F0060F" w:rsidRDefault="0088150A" w:rsidP="00F0060F">
            <w:pPr>
              <w:pStyle w:val="TableText"/>
              <w:jc w:val="center"/>
              <w:rPr>
                <w:b/>
              </w:rPr>
            </w:pPr>
            <w:r w:rsidRPr="00F0060F">
              <w:rPr>
                <w:b/>
              </w:rPr>
              <w:t>Priorities for action</w:t>
            </w:r>
          </w:p>
        </w:tc>
      </w:tr>
      <w:tr w:rsidR="0088150A" w:rsidRPr="00F0060F" w:rsidTr="003608D7">
        <w:trPr>
          <w:cantSplit/>
        </w:trPr>
        <w:tc>
          <w:tcPr>
            <w:tcW w:w="2509" w:type="pct"/>
            <w:tcBorders>
              <w:top w:val="nil"/>
              <w:left w:val="nil"/>
              <w:bottom w:val="single" w:sz="4" w:space="0" w:color="auto"/>
              <w:right w:val="nil"/>
            </w:tcBorders>
            <w:shd w:val="clear" w:color="auto" w:fill="auto"/>
          </w:tcPr>
          <w:p w:rsidR="0088150A" w:rsidRPr="00F0060F" w:rsidRDefault="0088150A" w:rsidP="00F0060F">
            <w:pPr>
              <w:pStyle w:val="TableText"/>
              <w:jc w:val="center"/>
              <w:rPr>
                <w:b/>
              </w:rPr>
            </w:pPr>
            <w:r w:rsidRPr="00F0060F">
              <w:rPr>
                <w:b/>
              </w:rPr>
              <w:t>Short- to medium-term priorities</w:t>
            </w:r>
          </w:p>
        </w:tc>
        <w:tc>
          <w:tcPr>
            <w:tcW w:w="2491" w:type="pct"/>
            <w:tcBorders>
              <w:top w:val="nil"/>
              <w:left w:val="nil"/>
              <w:bottom w:val="single" w:sz="4" w:space="0" w:color="auto"/>
              <w:right w:val="nil"/>
            </w:tcBorders>
            <w:shd w:val="clear" w:color="auto" w:fill="auto"/>
          </w:tcPr>
          <w:p w:rsidR="0088150A" w:rsidRPr="00F0060F" w:rsidRDefault="0088150A" w:rsidP="00F0060F">
            <w:pPr>
              <w:pStyle w:val="TableText"/>
              <w:jc w:val="center"/>
              <w:rPr>
                <w:b/>
              </w:rPr>
            </w:pPr>
            <w:r w:rsidRPr="00F0060F">
              <w:rPr>
                <w:b/>
              </w:rPr>
              <w:t>Long-term priorities</w:t>
            </w:r>
          </w:p>
        </w:tc>
      </w:tr>
      <w:tr w:rsidR="0088150A" w:rsidRPr="00C10A99" w:rsidTr="00F0060F">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Default="0088150A" w:rsidP="00F0060F">
            <w:pPr>
              <w:pStyle w:val="TableText"/>
            </w:pPr>
            <w:r w:rsidRPr="00EB1F02">
              <w:t>Enhance the capacity and capability of communities (particularly those communities that are most vulnerable to gambling harm)</w:t>
            </w:r>
            <w:r>
              <w:t xml:space="preserve"> to:</w:t>
            </w:r>
          </w:p>
          <w:p w:rsidR="0088150A" w:rsidRDefault="0088150A" w:rsidP="00F0060F">
            <w:pPr>
              <w:pStyle w:val="TableBullet"/>
            </w:pPr>
            <w:r w:rsidRPr="00EB1F02">
              <w:t>participate in decision-making about the availability and accessibility of gambling and the allocation of gambling profits in their areas</w:t>
            </w:r>
          </w:p>
          <w:p w:rsidR="0088150A" w:rsidRDefault="0088150A" w:rsidP="00F0060F">
            <w:pPr>
              <w:pStyle w:val="TableBullet"/>
            </w:pPr>
            <w:r w:rsidRPr="003E73C9">
              <w:t>develop and implement policies that prevent and minimise gambling harm to individuals, families</w:t>
            </w:r>
            <w:r w:rsidR="009C5BBD">
              <w:t xml:space="preserve">, </w:t>
            </w:r>
            <w:r w:rsidRPr="003E73C9">
              <w:t>whānau and communities</w:t>
            </w:r>
          </w:p>
          <w:p w:rsidR="0088150A" w:rsidRPr="00EB1F02" w:rsidRDefault="0088150A" w:rsidP="00F0060F">
            <w:pPr>
              <w:pStyle w:val="TableBullet"/>
            </w:pPr>
            <w:r w:rsidRPr="003E73C9">
              <w:t>take action on gambling-harm-related issues in their areas.</w:t>
            </w:r>
          </w:p>
        </w:tc>
      </w:tr>
      <w:tr w:rsidR="00F0060F" w:rsidRPr="00C10A99" w:rsidTr="00F0060F">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F0060F" w:rsidRPr="00EB1F02" w:rsidRDefault="00F0060F" w:rsidP="00F0060F">
            <w:pPr>
              <w:pStyle w:val="TableText"/>
            </w:pPr>
            <w:r>
              <w:t>Provide relevant timely information to local communities about gambling activities and the location of gambling venues, the allocation of gambling profits and gambling-related harms in their communities.</w:t>
            </w:r>
          </w:p>
        </w:tc>
      </w:tr>
    </w:tbl>
    <w:p w:rsidR="0088150A" w:rsidRPr="00EB1F02" w:rsidRDefault="0088150A" w:rsidP="002B4C78">
      <w:pPr>
        <w:pStyle w:val="Heading4"/>
        <w:spacing w:before="480"/>
      </w:pPr>
      <w:r w:rsidRPr="00E312E8">
        <w:t xml:space="preserve">Underlying principles: </w:t>
      </w:r>
      <w:r>
        <w:t>p</w:t>
      </w:r>
      <w:r w:rsidRPr="00E312E8">
        <w:t>eople-powered/</w:t>
      </w:r>
      <w:r>
        <w:t>m</w:t>
      </w:r>
      <w:r w:rsidRPr="00E312E8">
        <w:t>ā te iwi hei kawe</w:t>
      </w:r>
    </w:p>
    <w:p w:rsidR="0088150A" w:rsidRDefault="0088150A" w:rsidP="00F0060F">
      <w:r w:rsidRPr="00E312E8">
        <w:t xml:space="preserve">Language barriers, </w:t>
      </w:r>
      <w:r>
        <w:t xml:space="preserve">different worldviews, </w:t>
      </w:r>
      <w:r w:rsidRPr="00E312E8">
        <w:t>lack of knowledge and lack of understanding all affect people</w:t>
      </w:r>
      <w:r w:rsidR="00A10EC0">
        <w:t>’</w:t>
      </w:r>
      <w:r w:rsidRPr="00E312E8">
        <w:t>s opportunities to participate meaningfully in New Zealand</w:t>
      </w:r>
      <w:r w:rsidR="00A10EC0">
        <w:t>’</w:t>
      </w:r>
      <w:r w:rsidRPr="00E312E8">
        <w:t>s range of formal decision-making processes to improve outcomes that contribute to the prevention and minimisation of gambling harm</w:t>
      </w:r>
      <w:r w:rsidRPr="00C10A99">
        <w:t>.</w:t>
      </w:r>
    </w:p>
    <w:p w:rsidR="0088150A" w:rsidRDefault="0088150A" w:rsidP="00F0060F"/>
    <w:p w:rsidR="0088150A" w:rsidRDefault="0088150A" w:rsidP="00F0060F">
      <w:r>
        <w:t>We need to address t</w:t>
      </w:r>
      <w:r w:rsidRPr="00C10A99">
        <w:t>hese and other barriers</w:t>
      </w:r>
      <w:r>
        <w:t xml:space="preserve"> </w:t>
      </w:r>
      <w:r w:rsidRPr="00C10A99">
        <w:t xml:space="preserve">to empower individuals and their communities to engage and participate effectively </w:t>
      </w:r>
      <w:r>
        <w:t xml:space="preserve">in </w:t>
      </w:r>
      <w:r w:rsidRPr="00C10A99">
        <w:t>gambling</w:t>
      </w:r>
      <w:r w:rsidR="00463490">
        <w:t>-</w:t>
      </w:r>
      <w:r w:rsidRPr="00C10A99">
        <w:t>harm</w:t>
      </w:r>
      <w:r>
        <w:t>-</w:t>
      </w:r>
      <w:r w:rsidRPr="00C10A99">
        <w:t xml:space="preserve">related </w:t>
      </w:r>
      <w:r>
        <w:t xml:space="preserve">responses </w:t>
      </w:r>
      <w:r w:rsidRPr="00C10A99">
        <w:t>in their local communities.</w:t>
      </w:r>
    </w:p>
    <w:p w:rsidR="0088150A" w:rsidRPr="00C10A99" w:rsidRDefault="0088150A" w:rsidP="00F0060F"/>
    <w:p w:rsidR="0088150A" w:rsidRPr="00E312E8" w:rsidRDefault="0088150A" w:rsidP="00F0060F">
      <w:pPr>
        <w:pStyle w:val="Heading3"/>
        <w:numPr>
          <w:ilvl w:val="0"/>
          <w:numId w:val="0"/>
        </w:numPr>
      </w:pPr>
      <w:r w:rsidRPr="00C10A99">
        <w:lastRenderedPageBreak/>
        <w:t>Objective 4:</w:t>
      </w:r>
      <w:r>
        <w:t xml:space="preserve"> </w:t>
      </w:r>
      <w:r w:rsidRPr="00E312E8">
        <w:t>Healthy policy at the national, regional and local level prevents and minimises gambling harm</w:t>
      </w:r>
    </w:p>
    <w:p w:rsidR="0088150A" w:rsidRDefault="0088150A" w:rsidP="00F0060F">
      <w:pPr>
        <w:keepNext/>
      </w:pPr>
      <w:r w:rsidRPr="00C10A99">
        <w:t>Successfully preventing and minimising gambling harm relies on a foundation of relevant and effective public policy</w:t>
      </w:r>
      <w:r>
        <w:t xml:space="preserve"> at the national, regional and local levels.</w:t>
      </w:r>
    </w:p>
    <w:p w:rsidR="0088150A" w:rsidRDefault="0088150A" w:rsidP="00F0060F">
      <w:pPr>
        <w:keepNext/>
      </w:pPr>
    </w:p>
    <w:p w:rsidR="0088150A" w:rsidRDefault="0088150A" w:rsidP="00F0060F">
      <w:r w:rsidRPr="00C10A99">
        <w:t xml:space="preserve">The Ministry will continue to comment on gambling issues </w:t>
      </w:r>
      <w:r>
        <w:t xml:space="preserve">based on </w:t>
      </w:r>
      <w:r w:rsidRPr="00C10A99">
        <w:t xml:space="preserve">the objectives </w:t>
      </w:r>
      <w:r>
        <w:t>of</w:t>
      </w:r>
      <w:r w:rsidRPr="00C10A99">
        <w:t xml:space="preserve"> the </w:t>
      </w:r>
      <w:r>
        <w:t>s</w:t>
      </w:r>
      <w:r w:rsidRPr="00C10A99">
        <w:t xml:space="preserve">trategic </w:t>
      </w:r>
      <w:r>
        <w:t>p</w:t>
      </w:r>
      <w:r w:rsidRPr="00C10A99">
        <w:t>lan and available research and</w:t>
      </w:r>
      <w:r>
        <w:t>,</w:t>
      </w:r>
      <w:r w:rsidRPr="00C10A99">
        <w:t xml:space="preserve"> where appropriate</w:t>
      </w:r>
      <w:r>
        <w:t>,</w:t>
      </w:r>
      <w:r w:rsidRPr="00C10A99">
        <w:t xml:space="preserve"> will work collaboratively with DIA on policy development. It will also continue to provide information to assist territorial authorities when they are reviewing their gambling venue policies.</w:t>
      </w:r>
    </w:p>
    <w:p w:rsidR="0088150A" w:rsidRPr="00C10A99" w:rsidRDefault="0088150A" w:rsidP="00F0060F"/>
    <w:p w:rsidR="0088150A" w:rsidRDefault="0088150A" w:rsidP="00F0060F">
      <w:r w:rsidRPr="00C10A99">
        <w:t xml:space="preserve">The Ministry will continue to </w:t>
      </w:r>
      <w:r>
        <w:t>support</w:t>
      </w:r>
      <w:r w:rsidRPr="00C10A99">
        <w:t xml:space="preserve"> the prevention and minimisation of gambling harm through health promotion, supply control and treatment avenues. A public health approach will continue to be a central pillar of the Ministry</w:t>
      </w:r>
      <w:r w:rsidR="00A10EC0">
        <w:t>’</w:t>
      </w:r>
      <w:r w:rsidRPr="00C10A99">
        <w:t>s work.</w:t>
      </w:r>
    </w:p>
    <w:p w:rsidR="0088150A" w:rsidRDefault="0088150A" w:rsidP="00F0060F"/>
    <w:p w:rsidR="0088150A" w:rsidRPr="00C10A99" w:rsidRDefault="0088150A" w:rsidP="00F0060F">
      <w:r>
        <w:t>The Ministry will also work with DIA to provide information, clearer direction and guidance from central to local government about gambling impacts, and to consider whether to set minimum standards for managing gambling-related harm.</w:t>
      </w:r>
    </w:p>
    <w:p w:rsidR="0088150A" w:rsidRPr="00C10A99" w:rsidRDefault="0088150A" w:rsidP="00F0060F"/>
    <w:p w:rsidR="0088150A" w:rsidRPr="00D63EC6" w:rsidRDefault="0088150A" w:rsidP="00F0060F">
      <w:pPr>
        <w:pStyle w:val="Table"/>
      </w:pPr>
      <w:bookmarkStart w:id="74" w:name="_Toc517091229"/>
      <w:bookmarkStart w:id="75" w:name="_Toc514838692"/>
      <w:bookmarkStart w:id="76" w:name="_Toc530487427"/>
      <w:bookmarkStart w:id="77" w:name="_Toc4156622"/>
      <w:bookmarkStart w:id="78" w:name="_Toc8398922"/>
      <w:r w:rsidRPr="00C10A99">
        <w:t xml:space="preserve">Table </w:t>
      </w:r>
      <w:r w:rsidRPr="004A1981">
        <w:fldChar w:fldCharType="begin"/>
      </w:r>
      <w:r w:rsidRPr="00C10A99">
        <w:instrText xml:space="preserve"> SEQ Table \* ARABIC </w:instrText>
      </w:r>
      <w:r w:rsidRPr="004A1981">
        <w:fldChar w:fldCharType="separate"/>
      </w:r>
      <w:r w:rsidR="0002049A">
        <w:rPr>
          <w:noProof/>
        </w:rPr>
        <w:t>4</w:t>
      </w:r>
      <w:r w:rsidRPr="004A1981">
        <w:fldChar w:fldCharType="end"/>
      </w:r>
      <w:r w:rsidRPr="00C10A99">
        <w:t>: Objective 4</w:t>
      </w:r>
      <w:r>
        <w:t xml:space="preserve"> p</w:t>
      </w:r>
      <w:r w:rsidRPr="00C10A99">
        <w:t>riorities for action</w:t>
      </w:r>
      <w:bookmarkEnd w:id="74"/>
      <w:bookmarkEnd w:id="75"/>
      <w:bookmarkEnd w:id="76"/>
      <w:bookmarkEnd w:id="77"/>
      <w:bookmarkEnd w:id="78"/>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12"/>
        <w:gridCol w:w="3970"/>
      </w:tblGrid>
      <w:tr w:rsidR="0088150A" w:rsidRPr="00F0060F" w:rsidTr="003608D7">
        <w:trPr>
          <w:cantSplit/>
        </w:trPr>
        <w:tc>
          <w:tcPr>
            <w:tcW w:w="5000" w:type="pct"/>
            <w:gridSpan w:val="2"/>
            <w:tcBorders>
              <w:left w:val="nil"/>
              <w:bottom w:val="nil"/>
              <w:right w:val="nil"/>
            </w:tcBorders>
            <w:shd w:val="clear" w:color="auto" w:fill="000000" w:themeFill="text1"/>
          </w:tcPr>
          <w:p w:rsidR="0088150A" w:rsidRPr="00F0060F" w:rsidRDefault="0088150A" w:rsidP="002B4C78">
            <w:pPr>
              <w:pStyle w:val="TableText"/>
              <w:keepNext/>
              <w:rPr>
                <w:b/>
              </w:rPr>
            </w:pPr>
            <w:r w:rsidRPr="00F0060F">
              <w:rPr>
                <w:b/>
              </w:rPr>
              <w:br w:type="page"/>
            </w:r>
            <w:r w:rsidRPr="00F0060F">
              <w:rPr>
                <w:b/>
              </w:rPr>
              <w:br w:type="page"/>
              <w:t>Objective 4: Healthy policy at the national, regional and local level prevents and minimises gambling harm</w:t>
            </w:r>
          </w:p>
        </w:tc>
      </w:tr>
      <w:tr w:rsidR="0088150A" w:rsidRPr="00F0060F" w:rsidTr="003608D7">
        <w:trPr>
          <w:cantSplit/>
        </w:trPr>
        <w:tc>
          <w:tcPr>
            <w:tcW w:w="5000" w:type="pct"/>
            <w:gridSpan w:val="2"/>
            <w:tcBorders>
              <w:top w:val="nil"/>
              <w:left w:val="nil"/>
              <w:bottom w:val="nil"/>
              <w:right w:val="nil"/>
            </w:tcBorders>
            <w:shd w:val="clear" w:color="auto" w:fill="D9D9D9" w:themeFill="background1" w:themeFillShade="D9"/>
          </w:tcPr>
          <w:p w:rsidR="0088150A" w:rsidRPr="00F0060F" w:rsidRDefault="0088150A" w:rsidP="002B4C78">
            <w:pPr>
              <w:pStyle w:val="TableText"/>
              <w:keepNext/>
              <w:jc w:val="center"/>
              <w:rPr>
                <w:b/>
              </w:rPr>
            </w:pPr>
            <w:r w:rsidRPr="00F0060F">
              <w:rPr>
                <w:b/>
              </w:rPr>
              <w:t>Priorities for action</w:t>
            </w:r>
          </w:p>
        </w:tc>
      </w:tr>
      <w:tr w:rsidR="0088150A" w:rsidRPr="00F0060F" w:rsidTr="003608D7">
        <w:trPr>
          <w:cantSplit/>
        </w:trPr>
        <w:tc>
          <w:tcPr>
            <w:tcW w:w="2513" w:type="pct"/>
            <w:tcBorders>
              <w:top w:val="nil"/>
              <w:left w:val="nil"/>
              <w:bottom w:val="single" w:sz="4" w:space="0" w:color="auto"/>
              <w:right w:val="nil"/>
            </w:tcBorders>
            <w:shd w:val="clear" w:color="auto" w:fill="auto"/>
          </w:tcPr>
          <w:p w:rsidR="0088150A" w:rsidRPr="00F0060F" w:rsidRDefault="0088150A" w:rsidP="002B4C78">
            <w:pPr>
              <w:pStyle w:val="TableText"/>
              <w:keepNext/>
              <w:jc w:val="center"/>
              <w:rPr>
                <w:b/>
              </w:rPr>
            </w:pPr>
            <w:r w:rsidRPr="00F0060F">
              <w:rPr>
                <w:b/>
              </w:rPr>
              <w:t>Short- to medium-term priorities</w:t>
            </w:r>
          </w:p>
        </w:tc>
        <w:tc>
          <w:tcPr>
            <w:tcW w:w="2487" w:type="pct"/>
            <w:tcBorders>
              <w:top w:val="nil"/>
              <w:left w:val="nil"/>
              <w:bottom w:val="single" w:sz="4" w:space="0" w:color="auto"/>
              <w:right w:val="nil"/>
            </w:tcBorders>
            <w:shd w:val="clear" w:color="auto" w:fill="auto"/>
          </w:tcPr>
          <w:p w:rsidR="0088150A" w:rsidRPr="00F0060F" w:rsidRDefault="0088150A" w:rsidP="002B4C78">
            <w:pPr>
              <w:pStyle w:val="TableText"/>
              <w:keepNext/>
              <w:jc w:val="center"/>
              <w:rPr>
                <w:b/>
              </w:rPr>
            </w:pPr>
            <w:r w:rsidRPr="00F0060F">
              <w:rPr>
                <w:b/>
              </w:rPr>
              <w:t>Long-term priorities</w:t>
            </w:r>
          </w:p>
        </w:tc>
      </w:tr>
      <w:tr w:rsidR="0088150A" w:rsidRPr="00C10A99" w:rsidTr="003608D7">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Default="0088150A" w:rsidP="002B4C78">
            <w:pPr>
              <w:pStyle w:val="TableText"/>
              <w:keepNext/>
            </w:pPr>
            <w:r>
              <w:t>Develop and maintain a joint work programme with DIA on significant areas of mutual interest.</w:t>
            </w:r>
          </w:p>
          <w:p w:rsidR="0088150A" w:rsidRPr="00EB1F02" w:rsidRDefault="0088150A" w:rsidP="005D10E0">
            <w:pPr>
              <w:pStyle w:val="TableText"/>
              <w:keepNext/>
            </w:pPr>
            <w:r w:rsidRPr="00EB1F02">
              <w:t>Work closely with DIA</w:t>
            </w:r>
            <w:r>
              <w:t xml:space="preserve"> in developing</w:t>
            </w:r>
            <w:r w:rsidRPr="00EB1F02">
              <w:t xml:space="preserve"> gambling policy and regulation</w:t>
            </w:r>
            <w:r>
              <w:t>s</w:t>
            </w:r>
            <w:r w:rsidRPr="00EB1F02">
              <w:t xml:space="preserve"> to ensure that harm minimisation continues to be a core aspect in </w:t>
            </w:r>
            <w:r>
              <w:t>both organisations</w:t>
            </w:r>
            <w:r w:rsidR="00A10EC0">
              <w:t>’</w:t>
            </w:r>
            <w:r w:rsidRPr="00EB1F02">
              <w:t xml:space="preserve"> work</w:t>
            </w:r>
            <w:r>
              <w:t>.</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2B4C78">
            <w:pPr>
              <w:pStyle w:val="TableText"/>
              <w:keepNext/>
            </w:pPr>
            <w:r w:rsidRPr="00EB1F02">
              <w:t>Continue to provide information to other government sectors and agencies (eg, Local Government New Zealand</w:t>
            </w:r>
            <w:r>
              <w:t>;</w:t>
            </w:r>
            <w:r w:rsidRPr="00EB1F02">
              <w:t xml:space="preserve"> Te</w:t>
            </w:r>
            <w:r>
              <w:t> </w:t>
            </w:r>
            <w:r w:rsidRPr="00EB1F02">
              <w:t>Puni Kōkiri</w:t>
            </w:r>
            <w:r>
              <w:t>;</w:t>
            </w:r>
            <w:r w:rsidRPr="00EB1F02">
              <w:t xml:space="preserve"> Department of Corrections</w:t>
            </w:r>
            <w:r>
              <w:t>;</w:t>
            </w:r>
            <w:r w:rsidRPr="00EB1F02">
              <w:t xml:space="preserve"> Oranga Tamariki</w:t>
            </w:r>
            <w:r>
              <w:t>: Ministry for Children</w:t>
            </w:r>
            <w:r w:rsidRPr="00EB1F02">
              <w:t xml:space="preserve"> and the Ministries of Business</w:t>
            </w:r>
            <w:r>
              <w:t>,</w:t>
            </w:r>
            <w:r w:rsidRPr="00EB1F02">
              <w:t xml:space="preserve"> Innovation and Employment</w:t>
            </w:r>
            <w:r>
              <w:t>,</w:t>
            </w:r>
            <w:r w:rsidRPr="00EB1F02">
              <w:t xml:space="preserve"> Education</w:t>
            </w:r>
            <w:r>
              <w:t>,</w:t>
            </w:r>
            <w:r w:rsidRPr="00EB1F02">
              <w:t xml:space="preserve"> Justice and Social Development) to increase understanding and acknowledge the need to link policies </w:t>
            </w:r>
            <w:r>
              <w:t xml:space="preserve">across related areas </w:t>
            </w:r>
            <w:r w:rsidRPr="00EB1F02">
              <w:t>to prevent and minimise gambling harm</w:t>
            </w:r>
            <w:r>
              <w:t>,</w:t>
            </w:r>
            <w:r w:rsidRPr="00EB1F02">
              <w:t xml:space="preserve"> and work with those sectors and agencies to develop a whole-of-government approach to preventing and minimising gambling harm</w:t>
            </w:r>
            <w:r>
              <w:t>.</w:t>
            </w:r>
          </w:p>
        </w:tc>
      </w:tr>
      <w:tr w:rsidR="0088150A" w:rsidRPr="00C10A99" w:rsidTr="003608D7">
        <w:trPr>
          <w:cantSplit/>
        </w:trPr>
        <w:tc>
          <w:tcPr>
            <w:tcW w:w="2513" w:type="pct"/>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0060F">
            <w:pPr>
              <w:pStyle w:val="TableText"/>
            </w:pPr>
          </w:p>
        </w:tc>
        <w:tc>
          <w:tcPr>
            <w:tcW w:w="2487" w:type="pct"/>
            <w:tcBorders>
              <w:top w:val="single" w:sz="4" w:space="0" w:color="A6A6A6" w:themeColor="background1" w:themeShade="A6"/>
              <w:left w:val="nil"/>
              <w:bottom w:val="single" w:sz="4" w:space="0" w:color="A6A6A6" w:themeColor="background1" w:themeShade="A6"/>
              <w:right w:val="nil"/>
            </w:tcBorders>
            <w:shd w:val="clear" w:color="auto" w:fill="auto"/>
          </w:tcPr>
          <w:p w:rsidR="0088150A" w:rsidRDefault="0088150A" w:rsidP="00F0060F">
            <w:pPr>
              <w:pStyle w:val="TableText"/>
            </w:pPr>
            <w:r w:rsidRPr="00EB1F02">
              <w:t>Develop effective policy frameworks to guide the development and implementation of policies at the national, regional and local level</w:t>
            </w:r>
            <w:r>
              <w:t>s</w:t>
            </w:r>
            <w:r w:rsidRPr="00EB1F02">
              <w:t xml:space="preserve"> that prevent and minimise gambling harm</w:t>
            </w:r>
            <w:r>
              <w:t>.</w:t>
            </w:r>
          </w:p>
          <w:p w:rsidR="0088150A" w:rsidRPr="00EB1F02" w:rsidRDefault="0088150A" w:rsidP="005D10E0">
            <w:pPr>
              <w:pStyle w:val="TableText"/>
            </w:pPr>
            <w:r>
              <w:t>Work with DIA to ensure local authorities can access quality information to help them develop effective gambling policies at the local level.</w:t>
            </w:r>
          </w:p>
        </w:tc>
      </w:tr>
      <w:tr w:rsidR="0088150A" w:rsidRPr="00C10A99" w:rsidTr="003608D7">
        <w:trPr>
          <w:cantSplit/>
        </w:trPr>
        <w:tc>
          <w:tcPr>
            <w:tcW w:w="2513" w:type="pct"/>
            <w:tcBorders>
              <w:top w:val="single" w:sz="4" w:space="0" w:color="A6A6A6" w:themeColor="background1" w:themeShade="A6"/>
              <w:left w:val="nil"/>
              <w:right w:val="nil"/>
            </w:tcBorders>
            <w:shd w:val="clear" w:color="auto" w:fill="auto"/>
          </w:tcPr>
          <w:p w:rsidR="0088150A" w:rsidRPr="00EB1F02" w:rsidRDefault="0088150A" w:rsidP="00994E27">
            <w:pPr>
              <w:pStyle w:val="TableText"/>
            </w:pPr>
            <w:r>
              <w:t>Work with DIA to assess the future levy formula and national/local polic</w:t>
            </w:r>
            <w:r w:rsidR="00F0060F">
              <w:t>y in relation to NCGM location.</w:t>
            </w:r>
          </w:p>
        </w:tc>
        <w:tc>
          <w:tcPr>
            <w:tcW w:w="2487" w:type="pct"/>
            <w:tcBorders>
              <w:top w:val="single" w:sz="4" w:space="0" w:color="A6A6A6" w:themeColor="background1" w:themeShade="A6"/>
              <w:left w:val="nil"/>
              <w:right w:val="nil"/>
            </w:tcBorders>
            <w:shd w:val="clear" w:color="auto" w:fill="auto"/>
          </w:tcPr>
          <w:p w:rsidR="0088150A" w:rsidRPr="00EB1F02" w:rsidRDefault="0088150A" w:rsidP="00994E27">
            <w:pPr>
              <w:pStyle w:val="TableText"/>
            </w:pPr>
            <w:r>
              <w:t>Work with DIA to implement matters arising from review of levy formula and NCGM location policy.</w:t>
            </w:r>
          </w:p>
        </w:tc>
      </w:tr>
    </w:tbl>
    <w:p w:rsidR="0088150A" w:rsidRPr="00E312E8" w:rsidRDefault="0088150A" w:rsidP="00F0060F"/>
    <w:p w:rsidR="0088150A" w:rsidRPr="00E312E8" w:rsidRDefault="0088150A" w:rsidP="00F0060F">
      <w:pPr>
        <w:pStyle w:val="Heading4"/>
      </w:pPr>
      <w:r w:rsidRPr="00E312E8">
        <w:lastRenderedPageBreak/>
        <w:t xml:space="preserve">Underlying principles: </w:t>
      </w:r>
      <w:r>
        <w:t>c</w:t>
      </w:r>
      <w:r w:rsidRPr="00E312E8">
        <w:t>loser to home/</w:t>
      </w:r>
      <w:r>
        <w:t>k</w:t>
      </w:r>
      <w:r w:rsidRPr="00E312E8">
        <w:t>a aro mai ke te kāinga</w:t>
      </w:r>
    </w:p>
    <w:p w:rsidR="0088150A" w:rsidRPr="00C10A99" w:rsidRDefault="0088150A" w:rsidP="00F0060F">
      <w:pPr>
        <w:rPr>
          <w:sz w:val="20"/>
        </w:rPr>
      </w:pPr>
      <w:r w:rsidRPr="00C10A99">
        <w:t>Good health begins at home and in communities. P</w:t>
      </w:r>
      <w:r>
        <w:t>ublic health and p</w:t>
      </w:r>
      <w:r w:rsidRPr="00C10A99">
        <w:t>opulation-based strategies can help to better identify and prevent long-term conditions, provide earlier interventions,</w:t>
      </w:r>
      <w:r>
        <w:t xml:space="preserve"> shape environments</w:t>
      </w:r>
      <w:r w:rsidRPr="00C10A99">
        <w:t xml:space="preserve"> and make better quality healthier choices easier for all New Zealanders.</w:t>
      </w:r>
    </w:p>
    <w:p w:rsidR="0088150A" w:rsidRDefault="0088150A" w:rsidP="00F0060F">
      <w:pPr>
        <w:pStyle w:val="Heading3"/>
        <w:numPr>
          <w:ilvl w:val="0"/>
          <w:numId w:val="0"/>
        </w:numPr>
      </w:pPr>
      <w:r w:rsidRPr="00C10A99">
        <w:t xml:space="preserve">Objective </w:t>
      </w:r>
      <w:r>
        <w:t>5</w:t>
      </w:r>
      <w:r w:rsidRPr="00C10A99">
        <w:t>:</w:t>
      </w:r>
      <w:r>
        <w:t xml:space="preserve"> </w:t>
      </w:r>
      <w:r w:rsidRPr="00E312E8">
        <w:t>People</w:t>
      </w:r>
      <w:r>
        <w:t xml:space="preserve"> understand and acknowledge the range of gambling harms that affect individuals, f</w:t>
      </w:r>
      <w:r w:rsidRPr="00E312E8">
        <w:t xml:space="preserve">amilies/whānau </w:t>
      </w:r>
      <w:r>
        <w:t>and communities</w:t>
      </w:r>
    </w:p>
    <w:p w:rsidR="0088150A" w:rsidRPr="00E312E8" w:rsidRDefault="0088150A" w:rsidP="00F0060F">
      <w:r>
        <w:t xml:space="preserve">This objective acknowledges that people need to </w:t>
      </w:r>
      <w:r w:rsidRPr="00E312E8">
        <w:t>have the life skills and resilience to make healthy choices that prevent and minimise gambling harm</w:t>
      </w:r>
      <w:r>
        <w:t>.</w:t>
      </w:r>
    </w:p>
    <w:p w:rsidR="0088150A" w:rsidRDefault="0088150A" w:rsidP="00F0060F"/>
    <w:p w:rsidR="0088150A" w:rsidRPr="00C10A99" w:rsidRDefault="0088150A" w:rsidP="00F0060F">
      <w:r w:rsidRPr="00C10A99">
        <w:t>The Ministry recognises that</w:t>
      </w:r>
      <w:r>
        <w:t>,</w:t>
      </w:r>
      <w:r w:rsidRPr="00C10A99">
        <w:t xml:space="preserve"> for most people</w:t>
      </w:r>
      <w:r>
        <w:t>,</w:t>
      </w:r>
      <w:r w:rsidRPr="00C10A99">
        <w:t xml:space="preserve"> gambling is a recreational activity that is enjoyed safely and in moderation. However, a significant minority of people struggle with gambling. Certain groups</w:t>
      </w:r>
      <w:r>
        <w:t xml:space="preserve">, </w:t>
      </w:r>
      <w:r w:rsidRPr="00C10A99">
        <w:t>including Māori, Pacific peoples, Asian communities, youth, migrants</w:t>
      </w:r>
      <w:r>
        <w:t xml:space="preserve"> and older people </w:t>
      </w:r>
      <w:r w:rsidRPr="00C10A99">
        <w:t>are particularly vulnerable to gambling harm for a variety of reasons.</w:t>
      </w:r>
      <w:r w:rsidRPr="0087239E">
        <w:t xml:space="preserve"> </w:t>
      </w:r>
      <w:r w:rsidRPr="00C10A99">
        <w:t xml:space="preserve">For </w:t>
      </w:r>
      <w:r>
        <w:t xml:space="preserve">example, </w:t>
      </w:r>
      <w:r w:rsidRPr="00C10A99">
        <w:t>some ethnic groups</w:t>
      </w:r>
      <w:r>
        <w:t xml:space="preserve"> who have not been exposed to </w:t>
      </w:r>
      <w:r w:rsidRPr="00C10A99">
        <w:t>large-scale, commercial gambling</w:t>
      </w:r>
      <w:r>
        <w:t xml:space="preserve"> previously are particularly vulnerable to such forms of gambling harm.</w:t>
      </w:r>
    </w:p>
    <w:p w:rsidR="0088150A" w:rsidRDefault="0088150A" w:rsidP="00F0060F"/>
    <w:p w:rsidR="00A10EC0" w:rsidRDefault="0088150A" w:rsidP="00F0060F">
      <w:r w:rsidRPr="00C10A99">
        <w:t>The Ministry will continue to design public health programmes, and allocate resources, for vulnerable groups in the population, including resources to raise awareness and develop resilient life skills to prevent or minimise gambling harm.</w:t>
      </w:r>
    </w:p>
    <w:p w:rsidR="0088150A" w:rsidRDefault="0088150A" w:rsidP="00F0060F"/>
    <w:p w:rsidR="0088150A" w:rsidRPr="00C10A99" w:rsidRDefault="0088150A" w:rsidP="00F0060F">
      <w:r w:rsidRPr="00C10A99">
        <w:t>The Ministry will continue to provide information to support making healthy choices at individual and community level</w:t>
      </w:r>
      <w:r w:rsidR="00CC49BA">
        <w:t>s</w:t>
      </w:r>
      <w:r w:rsidRPr="00C10A99">
        <w:t>.</w:t>
      </w:r>
      <w:r w:rsidRPr="000A4FA8">
        <w:t xml:space="preserve"> </w:t>
      </w:r>
      <w:r>
        <w:t>This includes raising awareness about how to recognise low to moderate levels of gambling harm, the support available and the actions people can take to mitigate these risks and address this harm.</w:t>
      </w:r>
    </w:p>
    <w:p w:rsidR="0088150A" w:rsidRDefault="0088150A" w:rsidP="00F0060F"/>
    <w:p w:rsidR="00A10EC0" w:rsidRDefault="0088150A" w:rsidP="00F0060F">
      <w:pPr>
        <w:rPr>
          <w:highlight w:val="yellow"/>
        </w:rPr>
      </w:pPr>
      <w:r>
        <w:t>The Ministry will develop and draw on learning from projects that promote related life and financial skills and resilience, such as Sorted Whānau, for their potential application to people exposed to or at risk of gambling harm.</w:t>
      </w:r>
    </w:p>
    <w:p w:rsidR="0088150A" w:rsidRDefault="0088150A" w:rsidP="00F0060F">
      <w:pPr>
        <w:rPr>
          <w:highlight w:val="yellow"/>
        </w:rPr>
      </w:pPr>
    </w:p>
    <w:p w:rsidR="0088150A" w:rsidRDefault="0088150A" w:rsidP="00F0060F">
      <w:r w:rsidRPr="000D164E">
        <w:t>The proposed co</w:t>
      </w:r>
      <w:r>
        <w:t>-</w:t>
      </w:r>
      <w:r w:rsidRPr="000D164E">
        <w:t>design approach and use of consumer networks and peer support will give consumers</w:t>
      </w:r>
      <w:r>
        <w:t xml:space="preserve"> (people with lived experience of gambling harm), including those from vulnerable communities, </w:t>
      </w:r>
      <w:r w:rsidRPr="008B7D53">
        <w:t>a</w:t>
      </w:r>
      <w:r w:rsidRPr="000D164E">
        <w:t xml:space="preserve"> stronger voice in the</w:t>
      </w:r>
      <w:r>
        <w:t xml:space="preserve"> design and delivery of the</w:t>
      </w:r>
      <w:r w:rsidRPr="000D164E">
        <w:t>se activities</w:t>
      </w:r>
      <w:r>
        <w:t>.</w:t>
      </w:r>
    </w:p>
    <w:p w:rsidR="0088150A" w:rsidRPr="00C10A99" w:rsidRDefault="0088150A" w:rsidP="00F0060F"/>
    <w:p w:rsidR="00E94F8C" w:rsidRDefault="00E94F8C">
      <w:pPr>
        <w:rPr>
          <w:b/>
          <w:sz w:val="20"/>
        </w:rPr>
      </w:pPr>
      <w:bookmarkStart w:id="79" w:name="_Toc517091232"/>
      <w:bookmarkStart w:id="80" w:name="_Toc514838695"/>
      <w:bookmarkStart w:id="81" w:name="_Toc530487428"/>
      <w:bookmarkStart w:id="82" w:name="_Toc4156623"/>
      <w:bookmarkStart w:id="83" w:name="_Toc8398923"/>
      <w:r>
        <w:br w:type="page"/>
      </w:r>
    </w:p>
    <w:p w:rsidR="0088150A" w:rsidRPr="00B75CBC" w:rsidRDefault="0088150A" w:rsidP="00F0060F">
      <w:pPr>
        <w:pStyle w:val="Table"/>
      </w:pPr>
      <w:r w:rsidRPr="00C10A99">
        <w:lastRenderedPageBreak/>
        <w:t xml:space="preserve">Table </w:t>
      </w:r>
      <w:r w:rsidRPr="007F7BB3">
        <w:fldChar w:fldCharType="begin"/>
      </w:r>
      <w:r w:rsidRPr="00C10A99">
        <w:instrText xml:space="preserve"> SEQ Table \* ARABIC </w:instrText>
      </w:r>
      <w:r w:rsidRPr="007F7BB3">
        <w:fldChar w:fldCharType="separate"/>
      </w:r>
      <w:r w:rsidR="0002049A">
        <w:rPr>
          <w:noProof/>
        </w:rPr>
        <w:t>5</w:t>
      </w:r>
      <w:r w:rsidRPr="007F7BB3">
        <w:fldChar w:fldCharType="end"/>
      </w:r>
      <w:r w:rsidRPr="00C10A99">
        <w:t>: Objective</w:t>
      </w:r>
      <w:r>
        <w:t xml:space="preserve"> 5 p</w:t>
      </w:r>
      <w:r w:rsidRPr="00C10A99">
        <w:t>riorities for action</w:t>
      </w:r>
      <w:bookmarkEnd w:id="79"/>
      <w:bookmarkEnd w:id="80"/>
      <w:bookmarkEnd w:id="81"/>
      <w:bookmarkEnd w:id="82"/>
      <w:bookmarkEnd w:id="83"/>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91"/>
        <w:gridCol w:w="3991"/>
      </w:tblGrid>
      <w:tr w:rsidR="0088150A" w:rsidRPr="00F0060F" w:rsidTr="003608D7">
        <w:trPr>
          <w:cantSplit/>
        </w:trPr>
        <w:tc>
          <w:tcPr>
            <w:tcW w:w="5000" w:type="pct"/>
            <w:gridSpan w:val="2"/>
            <w:tcBorders>
              <w:left w:val="nil"/>
              <w:bottom w:val="nil"/>
              <w:right w:val="nil"/>
            </w:tcBorders>
            <w:shd w:val="clear" w:color="auto" w:fill="000000" w:themeFill="text1"/>
          </w:tcPr>
          <w:p w:rsidR="0088150A" w:rsidRPr="00F0060F" w:rsidRDefault="0088150A" w:rsidP="00F0060F">
            <w:pPr>
              <w:pStyle w:val="TableText"/>
              <w:keepNext/>
              <w:rPr>
                <w:b/>
              </w:rPr>
            </w:pPr>
            <w:r w:rsidRPr="00F0060F">
              <w:rPr>
                <w:b/>
              </w:rPr>
              <w:t>Objective 5: People understand and acknowledge the range of gambling harms that affect individuals, families/whānau and communities</w:t>
            </w:r>
          </w:p>
        </w:tc>
      </w:tr>
      <w:tr w:rsidR="0088150A" w:rsidRPr="00F0060F" w:rsidTr="003608D7">
        <w:trPr>
          <w:cantSplit/>
        </w:trPr>
        <w:tc>
          <w:tcPr>
            <w:tcW w:w="5000" w:type="pct"/>
            <w:gridSpan w:val="2"/>
            <w:tcBorders>
              <w:top w:val="nil"/>
              <w:left w:val="nil"/>
              <w:bottom w:val="nil"/>
              <w:right w:val="nil"/>
            </w:tcBorders>
            <w:shd w:val="clear" w:color="auto" w:fill="D9D9D9" w:themeFill="background1" w:themeFillShade="D9"/>
          </w:tcPr>
          <w:p w:rsidR="0088150A" w:rsidRPr="00F0060F" w:rsidRDefault="0088150A" w:rsidP="00F0060F">
            <w:pPr>
              <w:pStyle w:val="TableText"/>
              <w:keepNext/>
              <w:jc w:val="center"/>
              <w:rPr>
                <w:b/>
              </w:rPr>
            </w:pPr>
            <w:r w:rsidRPr="00F0060F">
              <w:rPr>
                <w:b/>
              </w:rPr>
              <w:t>Priorities for action</w:t>
            </w:r>
          </w:p>
        </w:tc>
      </w:tr>
      <w:tr w:rsidR="0088150A" w:rsidRPr="00F0060F" w:rsidTr="003608D7">
        <w:trPr>
          <w:cantSplit/>
        </w:trPr>
        <w:tc>
          <w:tcPr>
            <w:tcW w:w="2500" w:type="pct"/>
            <w:tcBorders>
              <w:top w:val="nil"/>
              <w:left w:val="nil"/>
              <w:bottom w:val="single" w:sz="4" w:space="0" w:color="auto"/>
              <w:right w:val="nil"/>
            </w:tcBorders>
            <w:shd w:val="clear" w:color="auto" w:fill="auto"/>
          </w:tcPr>
          <w:p w:rsidR="0088150A" w:rsidRPr="00F0060F" w:rsidRDefault="0088150A" w:rsidP="00F0060F">
            <w:pPr>
              <w:pStyle w:val="TableText"/>
              <w:keepNext/>
              <w:jc w:val="center"/>
              <w:rPr>
                <w:b/>
              </w:rPr>
            </w:pPr>
            <w:r w:rsidRPr="00F0060F">
              <w:rPr>
                <w:b/>
              </w:rPr>
              <w:t>Short- to medium-term priorities</w:t>
            </w:r>
          </w:p>
        </w:tc>
        <w:tc>
          <w:tcPr>
            <w:tcW w:w="2500" w:type="pct"/>
            <w:tcBorders>
              <w:top w:val="nil"/>
              <w:left w:val="nil"/>
              <w:bottom w:val="single" w:sz="4" w:space="0" w:color="auto"/>
              <w:right w:val="nil"/>
            </w:tcBorders>
            <w:shd w:val="clear" w:color="auto" w:fill="auto"/>
          </w:tcPr>
          <w:p w:rsidR="0088150A" w:rsidRPr="00F0060F" w:rsidRDefault="0088150A" w:rsidP="00F0060F">
            <w:pPr>
              <w:pStyle w:val="TableText"/>
              <w:keepNext/>
              <w:jc w:val="center"/>
              <w:rPr>
                <w:b/>
              </w:rPr>
            </w:pPr>
            <w:r w:rsidRPr="00F0060F">
              <w:rPr>
                <w:b/>
              </w:rPr>
              <w:t>Long-term priorities</w:t>
            </w:r>
          </w:p>
        </w:tc>
      </w:tr>
      <w:tr w:rsidR="0088150A" w:rsidRPr="00C10A99" w:rsidTr="003608D7">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F0060F">
            <w:pPr>
              <w:pStyle w:val="TableText"/>
            </w:pPr>
            <w:r>
              <w:t xml:space="preserve">Ensure education and messaging and actions cover the full spectrum of harm, including </w:t>
            </w:r>
            <w:r w:rsidR="00F0060F">
              <w:t>low to medium problem gambling.</w:t>
            </w:r>
          </w:p>
        </w:tc>
      </w:tr>
      <w:tr w:rsidR="0088150A" w:rsidRPr="00C10A99" w:rsidTr="003608D7">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F0060F">
            <w:pPr>
              <w:pStyle w:val="TableText"/>
            </w:pPr>
            <w:r w:rsidRPr="00EB1F02">
              <w:t xml:space="preserve">Increase participation in the development of, and exposure to, culturally and linguistically appropriate campaigns and communications that provide information to people on the health and social risks </w:t>
            </w:r>
            <w:r>
              <w:t xml:space="preserve">and signs </w:t>
            </w:r>
            <w:r w:rsidRPr="00EB1F02">
              <w:t xml:space="preserve">of </w:t>
            </w:r>
            <w:r>
              <w:t xml:space="preserve">harmful </w:t>
            </w:r>
            <w:r w:rsidRPr="00EB1F02">
              <w:t>gambling</w:t>
            </w:r>
            <w:r>
              <w:t xml:space="preserve"> and what to do to mitigate these risks and obtain help.</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0060F">
            <w:pPr>
              <w:pStyle w:val="TableText"/>
            </w:pPr>
            <w:r w:rsidRPr="00EB1F02">
              <w:t>Identify ways to provide effective support to people who are seeking to independently moderate or manage their gambling behaviour (or the behaviour of their famil</w:t>
            </w:r>
            <w:r>
              <w:t>ies</w:t>
            </w:r>
            <w:r w:rsidR="009C5BBD">
              <w:t xml:space="preserve"> and </w:t>
            </w:r>
            <w:r w:rsidRPr="00EB1F02">
              <w:t>whānau) in some way and provide that support</w:t>
            </w:r>
            <w:r>
              <w:t>.</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0060F">
            <w:pPr>
              <w:pStyle w:val="TableText"/>
            </w:pPr>
            <w:r w:rsidRPr="00EB1F02">
              <w:t xml:space="preserve">Continue to enhance the links between gambling </w:t>
            </w:r>
            <w:r>
              <w:t xml:space="preserve">harm </w:t>
            </w:r>
            <w:r w:rsidRPr="00EB1F02">
              <w:t xml:space="preserve">services and other social and health services to ensure that services work together to support </w:t>
            </w:r>
            <w:r>
              <w:t xml:space="preserve">people experiencing </w:t>
            </w:r>
            <w:r w:rsidRPr="00EB1F02">
              <w:t>gambl</w:t>
            </w:r>
            <w:r>
              <w:t>ing harm</w:t>
            </w:r>
            <w:r w:rsidRPr="00EB1F02">
              <w:t xml:space="preserve"> and their famil</w:t>
            </w:r>
            <w:r>
              <w:t>ies</w:t>
            </w:r>
            <w:r w:rsidR="009C5BBD">
              <w:t xml:space="preserve"> and </w:t>
            </w:r>
            <w:r w:rsidRPr="00EB1F02">
              <w:t xml:space="preserve">whānau. This will include trialling collective impact </w:t>
            </w:r>
            <w:r>
              <w:t xml:space="preserve">and collaborative </w:t>
            </w:r>
            <w:r w:rsidRPr="00EB1F02">
              <w:t>approaches.</w:t>
            </w:r>
          </w:p>
        </w:tc>
      </w:tr>
      <w:tr w:rsidR="0088150A" w:rsidRPr="00C10A99" w:rsidTr="003608D7">
        <w:trPr>
          <w:cantSplit/>
        </w:trPr>
        <w:tc>
          <w:tcPr>
            <w:tcW w:w="2500" w:type="pct"/>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0060F">
            <w:pPr>
              <w:pStyle w:val="TableText"/>
            </w:pPr>
            <w:r w:rsidRPr="00EB1F02">
              <w:t>Enhance communication and referral processes to ensure that other services that offer support to people experiencing harm from gambling address the needs of a referred client (and their family</w:t>
            </w:r>
            <w:r w:rsidR="00281081">
              <w:t xml:space="preserve"> and </w:t>
            </w:r>
            <w:r w:rsidRPr="00EB1F02">
              <w:t>whānau)</w:t>
            </w:r>
            <w:r>
              <w:t>.</w:t>
            </w:r>
          </w:p>
        </w:tc>
        <w:tc>
          <w:tcPr>
            <w:tcW w:w="2500" w:type="pct"/>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0060F">
            <w:pPr>
              <w:pStyle w:val="TableText"/>
            </w:pPr>
          </w:p>
        </w:tc>
      </w:tr>
      <w:tr w:rsidR="0088150A" w:rsidRPr="00C10A99" w:rsidTr="003608D7">
        <w:trPr>
          <w:cantSplit/>
        </w:trPr>
        <w:tc>
          <w:tcPr>
            <w:tcW w:w="2500" w:type="pct"/>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0060F">
            <w:pPr>
              <w:pStyle w:val="TableText"/>
            </w:pPr>
            <w:r w:rsidRPr="00EB1F02">
              <w:t>Continue to identify and monitor protective and resiliency factors for gambling harm</w:t>
            </w:r>
            <w:r>
              <w:t>.</w:t>
            </w:r>
          </w:p>
        </w:tc>
        <w:tc>
          <w:tcPr>
            <w:tcW w:w="2500" w:type="pct"/>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0060F">
            <w:pPr>
              <w:pStyle w:val="TableText"/>
            </w:pPr>
            <w:r w:rsidRPr="00EB1F02">
              <w:t xml:space="preserve">Develop </w:t>
            </w:r>
            <w:r>
              <w:t xml:space="preserve">and pilot </w:t>
            </w:r>
            <w:r w:rsidRPr="00EB1F02">
              <w:t>initiatives that build protective factors, life skills and resilience for people who gamble</w:t>
            </w:r>
            <w:r>
              <w:t>.</w:t>
            </w:r>
          </w:p>
        </w:tc>
      </w:tr>
      <w:tr w:rsidR="0088150A" w:rsidRPr="00C10A99" w:rsidTr="003608D7">
        <w:trPr>
          <w:cantSplit/>
        </w:trPr>
        <w:tc>
          <w:tcPr>
            <w:tcW w:w="2500" w:type="pct"/>
            <w:tcBorders>
              <w:top w:val="single" w:sz="4" w:space="0" w:color="A6A6A6" w:themeColor="background1" w:themeShade="A6"/>
              <w:left w:val="nil"/>
              <w:right w:val="nil"/>
            </w:tcBorders>
            <w:shd w:val="clear" w:color="auto" w:fill="auto"/>
          </w:tcPr>
          <w:p w:rsidR="0088150A" w:rsidRPr="00EB1F02" w:rsidRDefault="0088150A" w:rsidP="00F0060F">
            <w:pPr>
              <w:pStyle w:val="TableText"/>
            </w:pPr>
            <w:r w:rsidRPr="00EB1F02">
              <w:t>Increase the links between services to prevent and minimise gambling harm and broader mental health promotion life skills and resiliency programmes</w:t>
            </w:r>
            <w:r>
              <w:t>.</w:t>
            </w:r>
          </w:p>
        </w:tc>
        <w:tc>
          <w:tcPr>
            <w:tcW w:w="2500" w:type="pct"/>
            <w:tcBorders>
              <w:top w:val="single" w:sz="4" w:space="0" w:color="A6A6A6" w:themeColor="background1" w:themeShade="A6"/>
              <w:left w:val="nil"/>
              <w:right w:val="nil"/>
            </w:tcBorders>
            <w:shd w:val="clear" w:color="auto" w:fill="auto"/>
          </w:tcPr>
          <w:p w:rsidR="0088150A" w:rsidRPr="00EB1F02" w:rsidRDefault="0088150A" w:rsidP="00F0060F">
            <w:pPr>
              <w:pStyle w:val="TableText"/>
            </w:pPr>
            <w:r w:rsidRPr="00EB1F02">
              <w:t>Support community-based life skills and resiliency programmes that help people to make healthy choices that prevent and minimise gambling harm</w:t>
            </w:r>
            <w:r>
              <w:t>.</w:t>
            </w:r>
          </w:p>
        </w:tc>
      </w:tr>
    </w:tbl>
    <w:p w:rsidR="003F217A" w:rsidRDefault="003F217A" w:rsidP="003F217A">
      <w:pPr>
        <w:keepNext/>
      </w:pPr>
    </w:p>
    <w:p w:rsidR="0088150A" w:rsidRPr="00E312E8" w:rsidRDefault="0088150A" w:rsidP="00F5734C">
      <w:pPr>
        <w:pStyle w:val="Heading4"/>
      </w:pPr>
      <w:r w:rsidRPr="00E312E8">
        <w:t xml:space="preserve">Underlying principles: </w:t>
      </w:r>
      <w:r>
        <w:t>p</w:t>
      </w:r>
      <w:r w:rsidRPr="00E312E8">
        <w:t>eople-powered/</w:t>
      </w:r>
      <w:r>
        <w:t>m</w:t>
      </w:r>
      <w:r w:rsidRPr="00E312E8">
        <w:t>ā te iwi hei kawe</w:t>
      </w:r>
    </w:p>
    <w:p w:rsidR="0088150A" w:rsidRDefault="0088150A" w:rsidP="002B4C78">
      <w:pPr>
        <w:keepNext/>
      </w:pPr>
      <w:r w:rsidRPr="00C10A99">
        <w:t>The health system plays an important role in health literacy – providing people with the information they need to fully understand issues to do with health and wellness, including how to be healthy, access health services and manage their own health care.</w:t>
      </w:r>
    </w:p>
    <w:p w:rsidR="0088150A" w:rsidRDefault="0088150A" w:rsidP="00F5734C"/>
    <w:p w:rsidR="0088150A" w:rsidRDefault="0088150A" w:rsidP="00F5734C">
      <w:r w:rsidRPr="00C10A99">
        <w:t xml:space="preserve">To improve health literacy, service providers need to work in partnership with service users, supporting and encouraging them to be </w:t>
      </w:r>
      <w:r w:rsidR="00A10EC0">
        <w:t>‘</w:t>
      </w:r>
      <w:r w:rsidRPr="00C10A99">
        <w:t>health smart</w:t>
      </w:r>
      <w:r w:rsidR="00A10EC0">
        <w:t>’</w:t>
      </w:r>
      <w:r w:rsidRPr="00C10A99">
        <w:t>.</w:t>
      </w:r>
    </w:p>
    <w:p w:rsidR="0088150A" w:rsidRPr="00E312E8" w:rsidRDefault="0088150A" w:rsidP="00F5734C">
      <w:pPr>
        <w:pStyle w:val="Heading3"/>
        <w:numPr>
          <w:ilvl w:val="0"/>
          <w:numId w:val="0"/>
        </w:numPr>
      </w:pPr>
      <w:r w:rsidRPr="00C10A99">
        <w:t>Objective 6:</w:t>
      </w:r>
      <w:r>
        <w:t xml:space="preserve"> </w:t>
      </w:r>
      <w:r w:rsidRPr="00E312E8">
        <w:t>A skilled workforce is developed to deliver effective services</w:t>
      </w:r>
    </w:p>
    <w:p w:rsidR="0088150A" w:rsidRDefault="0088150A" w:rsidP="00F5734C">
      <w:r w:rsidRPr="00E312E8">
        <w:t>The Ministry expects</w:t>
      </w:r>
      <w:r>
        <w:t xml:space="preserve"> the </w:t>
      </w:r>
      <w:r w:rsidRPr="00E312E8">
        <w:t xml:space="preserve">gambling harm workforce to </w:t>
      </w:r>
      <w:r>
        <w:t xml:space="preserve">be diverse and </w:t>
      </w:r>
      <w:r w:rsidRPr="00E312E8">
        <w:t>have a robust health equity, cultural competency and healt</w:t>
      </w:r>
      <w:r w:rsidRPr="00C10A99">
        <w:t>h literacy focus</w:t>
      </w:r>
      <w:r>
        <w:t>. T</w:t>
      </w:r>
      <w:r w:rsidRPr="00C10A99">
        <w:t>o deliver cost-effective, responsive and holistic services</w:t>
      </w:r>
      <w:r>
        <w:t>,</w:t>
      </w:r>
      <w:r w:rsidRPr="00C10A99">
        <w:t xml:space="preserve"> </w:t>
      </w:r>
      <w:r>
        <w:t>a</w:t>
      </w:r>
      <w:r w:rsidRPr="00C10A99">
        <w:t>lignment with other relevant services, particularly those in the wider public health, mental health and addiction fields, is essential.</w:t>
      </w:r>
    </w:p>
    <w:p w:rsidR="0088150A" w:rsidRDefault="0088150A" w:rsidP="00F5734C"/>
    <w:p w:rsidR="0088150A" w:rsidRDefault="0088150A" w:rsidP="00F5734C">
      <w:r w:rsidRPr="00C10A99">
        <w:t xml:space="preserve">The Ministry has worked with the gambling harm sector to identify the core competencies (including cultural competencies) required for the public health </w:t>
      </w:r>
      <w:r w:rsidRPr="00C10A99">
        <w:lastRenderedPageBreak/>
        <w:t xml:space="preserve">workforce. The focus for the </w:t>
      </w:r>
      <w:r>
        <w:t>s</w:t>
      </w:r>
      <w:r w:rsidRPr="00C10A99">
        <w:t xml:space="preserve">trategic </w:t>
      </w:r>
      <w:r>
        <w:t>p</w:t>
      </w:r>
      <w:r w:rsidRPr="00C10A99">
        <w:t xml:space="preserve">lan is to increase uptake of a training programme to ensure that </w:t>
      </w:r>
      <w:r>
        <w:t xml:space="preserve">all </w:t>
      </w:r>
      <w:r w:rsidRPr="00C10A99">
        <w:t xml:space="preserve">the workforce </w:t>
      </w:r>
      <w:r>
        <w:t xml:space="preserve">can </w:t>
      </w:r>
      <w:r w:rsidRPr="00C10A99">
        <w:t>demonstrate those core competencies</w:t>
      </w:r>
      <w:r>
        <w:t xml:space="preserve"> by 2019 </w:t>
      </w:r>
      <w:r w:rsidRPr="00C10A99">
        <w:t xml:space="preserve">and </w:t>
      </w:r>
      <w:r>
        <w:t xml:space="preserve">will </w:t>
      </w:r>
      <w:r w:rsidRPr="00C10A99">
        <w:t>ha</w:t>
      </w:r>
      <w:r>
        <w:t xml:space="preserve">ve </w:t>
      </w:r>
      <w:r w:rsidRPr="00C10A99">
        <w:t xml:space="preserve">achieved, or </w:t>
      </w:r>
      <w:r>
        <w:t xml:space="preserve">be </w:t>
      </w:r>
      <w:r w:rsidRPr="00C10A99">
        <w:t>on a pathway to achieving, appropriate</w:t>
      </w:r>
      <w:r>
        <w:t xml:space="preserve"> </w:t>
      </w:r>
      <w:r w:rsidR="00CC49BA">
        <w:t xml:space="preserve">New Zealand Qualifications Authority </w:t>
      </w:r>
      <w:r>
        <w:t>level seven</w:t>
      </w:r>
      <w:r w:rsidRPr="00C10A99">
        <w:t xml:space="preserve"> qualifications. </w:t>
      </w:r>
      <w:r>
        <w:t xml:space="preserve">The Ministry is currently </w:t>
      </w:r>
      <w:r w:rsidRPr="00C10A99">
        <w:t>review</w:t>
      </w:r>
      <w:r>
        <w:t>ing</w:t>
      </w:r>
      <w:r w:rsidRPr="00C10A99">
        <w:t xml:space="preserve"> </w:t>
      </w:r>
      <w:r w:rsidRPr="00C10A99">
        <w:rPr>
          <w:i/>
        </w:rPr>
        <w:t xml:space="preserve">Te Uru Kahikatea: The Public Health Workforce Development Plan </w:t>
      </w:r>
      <w:r w:rsidRPr="00522D2F">
        <w:t>(Ministry of Health 2007)</w:t>
      </w:r>
      <w:r w:rsidRPr="00C10A99">
        <w:t xml:space="preserve">. </w:t>
      </w:r>
      <w:r>
        <w:t xml:space="preserve">It </w:t>
      </w:r>
      <w:r w:rsidRPr="00C10A99">
        <w:t xml:space="preserve">will ensure that </w:t>
      </w:r>
      <w:r>
        <w:t xml:space="preserve">the strategic plan takes into account </w:t>
      </w:r>
      <w:r w:rsidRPr="00C10A99">
        <w:t>any changes resulting from that review.</w:t>
      </w:r>
    </w:p>
    <w:p w:rsidR="0088150A" w:rsidRPr="00C10A99" w:rsidRDefault="0088150A" w:rsidP="00F5734C"/>
    <w:p w:rsidR="00A10EC0" w:rsidRDefault="0088150A" w:rsidP="00F5734C">
      <w:r w:rsidRPr="00C10A99">
        <w:t xml:space="preserve">For the intervention workforce, the Ministry will </w:t>
      </w:r>
      <w:r>
        <w:t xml:space="preserve">prioritise new service models that address cultural barriers, such as the use of service co-design with community stakeholders, incorporating cultural models, and </w:t>
      </w:r>
      <w:r w:rsidRPr="00C10A99">
        <w:t xml:space="preserve">focus on training to ensure that all practitioners demonstrate the gambling harm competencies under the Addiction </w:t>
      </w:r>
      <w:r>
        <w:t xml:space="preserve">Intervention </w:t>
      </w:r>
      <w:r w:rsidRPr="00C10A99">
        <w:t>Competency Framework</w:t>
      </w:r>
      <w:r>
        <w:t xml:space="preserve"> (DAPAANZ 2011)</w:t>
      </w:r>
      <w:r w:rsidRPr="00C10A99">
        <w:t>.</w:t>
      </w:r>
    </w:p>
    <w:p w:rsidR="0088150A" w:rsidRDefault="0088150A" w:rsidP="00F5734C"/>
    <w:p w:rsidR="0088150A" w:rsidRPr="00223225" w:rsidRDefault="0088150A" w:rsidP="00F5734C">
      <w:r w:rsidRPr="00223225">
        <w:t>The Ministry</w:t>
      </w:r>
      <w:r w:rsidR="00A10EC0">
        <w:t>’</w:t>
      </w:r>
      <w:r w:rsidRPr="00A1247A">
        <w:t>s expectation is that all intervention practitioners will</w:t>
      </w:r>
      <w:r w:rsidRPr="00F24893">
        <w:t xml:space="preserve"> </w:t>
      </w:r>
      <w:r>
        <w:t>be:</w:t>
      </w:r>
    </w:p>
    <w:p w:rsidR="00A10EC0" w:rsidRDefault="0088150A" w:rsidP="00F5734C">
      <w:pPr>
        <w:pStyle w:val="Bullet"/>
      </w:pPr>
      <w:r w:rsidRPr="000D164E">
        <w:t xml:space="preserve">registered as </w:t>
      </w:r>
      <w:r>
        <w:t xml:space="preserve">a </w:t>
      </w:r>
      <w:r w:rsidRPr="000D164E">
        <w:t>health practitioner permitted to practise within a relevant scope of practice under the Health Practitioners Competence Assurance Act 2003</w:t>
      </w:r>
      <w:r>
        <w:t>, or</w:t>
      </w:r>
    </w:p>
    <w:p w:rsidR="00A10EC0" w:rsidRDefault="0088150A" w:rsidP="00F5734C">
      <w:pPr>
        <w:pStyle w:val="Bullet"/>
      </w:pPr>
      <w:r w:rsidRPr="000D164E">
        <w:t>registered or endorsed by the Addiction Practitioners</w:t>
      </w:r>
      <w:r w:rsidR="00A10EC0">
        <w:t>’</w:t>
      </w:r>
      <w:r w:rsidRPr="000D164E">
        <w:t xml:space="preserve"> Association Aotearoa New Zealand (DAPAANZ) as having demonstrated the relevant specific competencies</w:t>
      </w:r>
      <w:r>
        <w:t>,</w:t>
      </w:r>
      <w:r w:rsidRPr="000D164E">
        <w:t xml:space="preserve"> or</w:t>
      </w:r>
      <w:r w:rsidR="000B3F43">
        <w:t xml:space="preserve"> </w:t>
      </w:r>
    </w:p>
    <w:p w:rsidR="0088150A" w:rsidRPr="00223225" w:rsidRDefault="0088150A" w:rsidP="00F5734C">
      <w:pPr>
        <w:pStyle w:val="Bullet"/>
      </w:pPr>
      <w:r w:rsidRPr="000D164E">
        <w:t>equivalently registered with another relevant professional organisation (</w:t>
      </w:r>
      <w:r>
        <w:t>eg</w:t>
      </w:r>
      <w:r w:rsidRPr="000D164E">
        <w:t>, a counsellor registered with the New Zealand Association of Counsellors).</w:t>
      </w:r>
    </w:p>
    <w:p w:rsidR="0088150A" w:rsidRDefault="0088150A" w:rsidP="00F5734C"/>
    <w:p w:rsidR="0088150A" w:rsidRDefault="0088150A" w:rsidP="00F5734C">
      <w:r>
        <w:t>The Ministry aims to increase the diversity of the workforce by introducing peer support in the short to medium term. While it will encourage the development of the peer support workforce, the peer support workers will not be subject to the same requirements listed above.</w:t>
      </w:r>
    </w:p>
    <w:p w:rsidR="0088150A" w:rsidRDefault="0088150A" w:rsidP="00F5734C"/>
    <w:p w:rsidR="0088150A" w:rsidRPr="00C10A99" w:rsidRDefault="0088150A" w:rsidP="00F5734C">
      <w:pPr>
        <w:pStyle w:val="Table"/>
      </w:pPr>
      <w:bookmarkStart w:id="84" w:name="_Toc514838694"/>
      <w:bookmarkStart w:id="85" w:name="_Toc517091231"/>
      <w:bookmarkStart w:id="86" w:name="_Toc530487429"/>
      <w:bookmarkStart w:id="87" w:name="_Toc4156624"/>
      <w:bookmarkStart w:id="88" w:name="_Toc8398924"/>
      <w:r w:rsidRPr="00C10A99">
        <w:t xml:space="preserve">Table </w:t>
      </w:r>
      <w:r w:rsidRPr="007F7BB3">
        <w:fldChar w:fldCharType="begin"/>
      </w:r>
      <w:r w:rsidRPr="00C10A99">
        <w:instrText xml:space="preserve"> SEQ Table \* ARABIC </w:instrText>
      </w:r>
      <w:r w:rsidRPr="007F7BB3">
        <w:fldChar w:fldCharType="separate"/>
      </w:r>
      <w:r w:rsidR="0002049A">
        <w:rPr>
          <w:noProof/>
        </w:rPr>
        <w:t>6</w:t>
      </w:r>
      <w:r w:rsidRPr="007F7BB3">
        <w:fldChar w:fldCharType="end"/>
      </w:r>
      <w:r w:rsidRPr="00C10A99">
        <w:t>: Objective 6</w:t>
      </w:r>
      <w:r>
        <w:t xml:space="preserve"> p</w:t>
      </w:r>
      <w:r w:rsidRPr="00C10A99">
        <w:t>riorities for action</w:t>
      </w:r>
      <w:bookmarkEnd w:id="84"/>
      <w:bookmarkEnd w:id="85"/>
      <w:bookmarkEnd w:id="86"/>
      <w:bookmarkEnd w:id="87"/>
      <w:bookmarkEnd w:id="88"/>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91"/>
        <w:gridCol w:w="14"/>
        <w:gridCol w:w="3977"/>
      </w:tblGrid>
      <w:tr w:rsidR="0088150A" w:rsidRPr="00F5734C" w:rsidTr="003608D7">
        <w:trPr>
          <w:cantSplit/>
        </w:trPr>
        <w:tc>
          <w:tcPr>
            <w:tcW w:w="5000" w:type="pct"/>
            <w:gridSpan w:val="3"/>
            <w:tcBorders>
              <w:left w:val="nil"/>
              <w:bottom w:val="nil"/>
              <w:right w:val="nil"/>
            </w:tcBorders>
            <w:shd w:val="clear" w:color="auto" w:fill="000000" w:themeFill="text1"/>
          </w:tcPr>
          <w:p w:rsidR="0088150A" w:rsidRPr="00F5734C" w:rsidRDefault="0088150A" w:rsidP="002B4C78">
            <w:pPr>
              <w:pStyle w:val="TableText"/>
              <w:keepNext/>
              <w:rPr>
                <w:b/>
              </w:rPr>
            </w:pPr>
            <w:r w:rsidRPr="00F5734C">
              <w:rPr>
                <w:b/>
              </w:rPr>
              <w:t>Objective 6: A skilled workforce is developed to del</w:t>
            </w:r>
            <w:r w:rsidR="00F5734C" w:rsidRPr="00F5734C">
              <w:rPr>
                <w:b/>
              </w:rPr>
              <w:t>iver effective services</w:t>
            </w:r>
          </w:p>
        </w:tc>
      </w:tr>
      <w:tr w:rsidR="0088150A" w:rsidRPr="00F5734C" w:rsidTr="003608D7">
        <w:trPr>
          <w:cantSplit/>
        </w:trPr>
        <w:tc>
          <w:tcPr>
            <w:tcW w:w="5000" w:type="pct"/>
            <w:gridSpan w:val="3"/>
            <w:tcBorders>
              <w:top w:val="nil"/>
              <w:left w:val="nil"/>
              <w:bottom w:val="nil"/>
              <w:right w:val="nil"/>
            </w:tcBorders>
            <w:shd w:val="clear" w:color="auto" w:fill="D9D9D9" w:themeFill="background1" w:themeFillShade="D9"/>
          </w:tcPr>
          <w:p w:rsidR="0088150A" w:rsidRPr="00F5734C" w:rsidRDefault="0088150A" w:rsidP="002B4C78">
            <w:pPr>
              <w:pStyle w:val="TableText"/>
              <w:keepNext/>
              <w:jc w:val="center"/>
              <w:rPr>
                <w:b/>
              </w:rPr>
            </w:pPr>
            <w:r w:rsidRPr="00F5734C">
              <w:rPr>
                <w:b/>
              </w:rPr>
              <w:t>Priorities for action</w:t>
            </w:r>
          </w:p>
        </w:tc>
      </w:tr>
      <w:tr w:rsidR="0088150A" w:rsidRPr="00F5734C" w:rsidTr="003608D7">
        <w:trPr>
          <w:cantSplit/>
        </w:trPr>
        <w:tc>
          <w:tcPr>
            <w:tcW w:w="2509" w:type="pct"/>
            <w:gridSpan w:val="2"/>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Short- to medium-term priorities</w:t>
            </w:r>
          </w:p>
        </w:tc>
        <w:tc>
          <w:tcPr>
            <w:tcW w:w="2491"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Long-term priorities</w:t>
            </w:r>
          </w:p>
        </w:tc>
      </w:tr>
      <w:tr w:rsidR="0088150A" w:rsidRPr="00C10A99" w:rsidTr="003608D7">
        <w:trPr>
          <w:cantSplit/>
        </w:trPr>
        <w:tc>
          <w:tcPr>
            <w:tcW w:w="2500" w:type="pct"/>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F5734C">
            <w:pPr>
              <w:pStyle w:val="TableText"/>
            </w:pPr>
            <w:r w:rsidRPr="00EB1F02">
              <w:t>Continue and increase uptake of training for staff working within services to prevent and minimise gambling harm</w:t>
            </w:r>
            <w:r>
              <w:t>.</w:t>
            </w:r>
          </w:p>
        </w:tc>
        <w:tc>
          <w:tcPr>
            <w:tcW w:w="2500" w:type="pct"/>
            <w:gridSpan w:val="2"/>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F5734C">
            <w:pPr>
              <w:pStyle w:val="TableText"/>
            </w:pPr>
            <w:r w:rsidRPr="00EB1F02">
              <w:t xml:space="preserve">Identify and implement workforce development training, career pathways and training opportunities for staff working within services to prevent and minimise gambling harm, so that all </w:t>
            </w:r>
            <w:r>
              <w:t xml:space="preserve">staff </w:t>
            </w:r>
            <w:r w:rsidRPr="00EB1F02">
              <w:t>demonstrate the required competencies and have relevant qualifications, registration or endorsement</w:t>
            </w:r>
            <w:r>
              <w:t>.</w:t>
            </w:r>
          </w:p>
        </w:tc>
      </w:tr>
      <w:tr w:rsidR="0088150A" w:rsidRPr="00C10A99" w:rsidTr="003608D7">
        <w:trPr>
          <w:cantSplit/>
        </w:trPr>
        <w:tc>
          <w:tcPr>
            <w:tcW w:w="2500" w:type="pct"/>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t xml:space="preserve">Support the introduction and training for peer support, other allied health workers </w:t>
            </w:r>
            <w:r w:rsidR="00F45E5F">
              <w:t xml:space="preserve">and </w:t>
            </w:r>
            <w:r>
              <w:t>k</w:t>
            </w:r>
            <w:r w:rsidRPr="000A5AD7">
              <w:t>aiāwhina</w:t>
            </w:r>
            <w:r w:rsidR="00F5734C">
              <w:t xml:space="preserve"> support.</w:t>
            </w:r>
          </w:p>
        </w:tc>
        <w:tc>
          <w:tcPr>
            <w:tcW w:w="25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p>
        </w:tc>
      </w:tr>
      <w:tr w:rsidR="0088150A" w:rsidRPr="00C10A99" w:rsidTr="003608D7">
        <w:trPr>
          <w:cantSplit/>
        </w:trPr>
        <w:tc>
          <w:tcPr>
            <w:tcW w:w="2500" w:type="pct"/>
            <w:tcBorders>
              <w:top w:val="single" w:sz="4" w:space="0" w:color="A6A6A6" w:themeColor="background1" w:themeShade="A6"/>
              <w:left w:val="nil"/>
              <w:right w:val="nil"/>
            </w:tcBorders>
            <w:shd w:val="clear" w:color="auto" w:fill="auto"/>
          </w:tcPr>
          <w:p w:rsidR="0088150A" w:rsidRDefault="0088150A" w:rsidP="00994E27">
            <w:pPr>
              <w:pStyle w:val="TableText"/>
            </w:pPr>
            <w:r>
              <w:t xml:space="preserve">Work with </w:t>
            </w:r>
            <w:r w:rsidRPr="000D164E">
              <w:t>workforce training providers</w:t>
            </w:r>
            <w:r>
              <w:t xml:space="preserve"> and </w:t>
            </w:r>
            <w:r w:rsidRPr="000D164E">
              <w:t>DIA</w:t>
            </w:r>
            <w:r>
              <w:t xml:space="preserve"> to ensure cultural competence training materials are appropriate to clients most likely to be affected by gambling harm.</w:t>
            </w:r>
          </w:p>
        </w:tc>
        <w:tc>
          <w:tcPr>
            <w:tcW w:w="2500" w:type="pct"/>
            <w:gridSpan w:val="2"/>
            <w:tcBorders>
              <w:top w:val="single" w:sz="4" w:space="0" w:color="A6A6A6" w:themeColor="background1" w:themeShade="A6"/>
              <w:left w:val="nil"/>
              <w:right w:val="nil"/>
            </w:tcBorders>
            <w:shd w:val="clear" w:color="auto" w:fill="auto"/>
          </w:tcPr>
          <w:p w:rsidR="0088150A" w:rsidRPr="00EB1F02" w:rsidRDefault="0088150A" w:rsidP="00F5734C">
            <w:pPr>
              <w:pStyle w:val="TableText"/>
            </w:pPr>
          </w:p>
        </w:tc>
      </w:tr>
    </w:tbl>
    <w:p w:rsidR="0088150A" w:rsidRDefault="0088150A" w:rsidP="00F5734C"/>
    <w:p w:rsidR="0088150A" w:rsidRPr="00E312E8" w:rsidRDefault="0088150A" w:rsidP="00F5734C">
      <w:pPr>
        <w:pStyle w:val="Heading4"/>
      </w:pPr>
      <w:r w:rsidRPr="00E312E8">
        <w:lastRenderedPageBreak/>
        <w:t xml:space="preserve">Underlying principles: </w:t>
      </w:r>
      <w:r>
        <w:t>o</w:t>
      </w:r>
      <w:r w:rsidRPr="00E312E8">
        <w:t xml:space="preserve">ne </w:t>
      </w:r>
      <w:r>
        <w:t>t</w:t>
      </w:r>
      <w:r w:rsidRPr="00E312E8">
        <w:t>eam/</w:t>
      </w:r>
      <w:r>
        <w:t>k</w:t>
      </w:r>
      <w:r w:rsidRPr="00E312E8">
        <w:t>otahi te tīma</w:t>
      </w:r>
    </w:p>
    <w:p w:rsidR="0088150A" w:rsidRDefault="0088150A" w:rsidP="00F5734C">
      <w:r>
        <w:t>O</w:t>
      </w:r>
      <w:r w:rsidRPr="00E312E8">
        <w:t xml:space="preserve">ur </w:t>
      </w:r>
      <w:r w:rsidRPr="00B47FDC">
        <w:t>workforce</w:t>
      </w:r>
      <w:r w:rsidRPr="00C10A99">
        <w:t xml:space="preserve"> </w:t>
      </w:r>
      <w:r>
        <w:t xml:space="preserve">needs </w:t>
      </w:r>
      <w:r w:rsidRPr="00C10A99">
        <w:t>the capacity and capability to meet New Zealand</w:t>
      </w:r>
      <w:r w:rsidR="00A10EC0">
        <w:t>’</w:t>
      </w:r>
      <w:r w:rsidRPr="00C10A99">
        <w:t>s current and future needs. This mean</w:t>
      </w:r>
      <w:r>
        <w:t>s</w:t>
      </w:r>
      <w:r w:rsidRPr="00C10A99">
        <w:t xml:space="preserve"> developing and strengthening </w:t>
      </w:r>
      <w:r>
        <w:t>people</w:t>
      </w:r>
      <w:r w:rsidR="00A10EC0">
        <w:t>’</w:t>
      </w:r>
      <w:r>
        <w:t>s</w:t>
      </w:r>
      <w:r w:rsidRPr="00C10A99">
        <w:t xml:space="preserve"> capability </w:t>
      </w:r>
      <w:r>
        <w:t>and skills;</w:t>
      </w:r>
      <w:r w:rsidRPr="00C10A99">
        <w:t xml:space="preserve"> in particular</w:t>
      </w:r>
      <w:r>
        <w:t>,</w:t>
      </w:r>
      <w:r w:rsidRPr="00C10A99">
        <w:t xml:space="preserve"> the capability of </w:t>
      </w:r>
      <w:r>
        <w:t xml:space="preserve">smaller </w:t>
      </w:r>
      <w:r w:rsidRPr="00C10A99">
        <w:t>community</w:t>
      </w:r>
      <w:r>
        <w:t>-</w:t>
      </w:r>
      <w:r w:rsidRPr="00C10A99">
        <w:t xml:space="preserve">based </w:t>
      </w:r>
      <w:r>
        <w:t>non-governmental organisation (</w:t>
      </w:r>
      <w:r w:rsidRPr="00C10A99">
        <w:t>NGO</w:t>
      </w:r>
      <w:r>
        <w:t>)</w:t>
      </w:r>
      <w:r w:rsidRPr="00C10A99">
        <w:t xml:space="preserve"> providers. </w:t>
      </w:r>
      <w:r>
        <w:t xml:space="preserve">It </w:t>
      </w:r>
      <w:r w:rsidRPr="00C10A99">
        <w:t xml:space="preserve">involves developing both people and infrastructure to enable </w:t>
      </w:r>
      <w:r>
        <w:t>people</w:t>
      </w:r>
      <w:r w:rsidRPr="00C10A99">
        <w:t xml:space="preserve"> to work to their full potential</w:t>
      </w:r>
      <w:r>
        <w:t xml:space="preserve"> and deliver efficient and effective gambling harm reduction services</w:t>
      </w:r>
      <w:r w:rsidRPr="00C10A99">
        <w:t>.</w:t>
      </w:r>
    </w:p>
    <w:p w:rsidR="0088150A" w:rsidRPr="002B49A0" w:rsidRDefault="0088150A" w:rsidP="00F5734C">
      <w:pPr>
        <w:pStyle w:val="Heading3"/>
        <w:numPr>
          <w:ilvl w:val="0"/>
          <w:numId w:val="0"/>
        </w:numPr>
      </w:pPr>
      <w:r w:rsidRPr="00C10A99">
        <w:t xml:space="preserve">Objective </w:t>
      </w:r>
      <w:r>
        <w:t>7</w:t>
      </w:r>
      <w:r w:rsidRPr="00C10A99">
        <w:t>:</w:t>
      </w:r>
      <w:r>
        <w:t xml:space="preserve"> Services enhance people</w:t>
      </w:r>
      <w:r w:rsidR="00A10EC0">
        <w:t>’</w:t>
      </w:r>
      <w:r>
        <w:t>s mana and build life skills and resiliency to improve healthy choices</w:t>
      </w:r>
    </w:p>
    <w:p w:rsidR="0088150A" w:rsidRPr="0039326A" w:rsidRDefault="0088150A" w:rsidP="00F5734C">
      <w:r w:rsidRPr="0039326A">
        <w:t>This objective recognises that Government, the gambling sector, communities, families</w:t>
      </w:r>
      <w:r w:rsidR="009C5BBD">
        <w:t xml:space="preserve">, </w:t>
      </w:r>
      <w:r w:rsidRPr="0039326A">
        <w:t>whānau and individuals must understand and be able to address the range of gambling harms that can affect individuals, families</w:t>
      </w:r>
      <w:r w:rsidR="009C5BBD">
        <w:t xml:space="preserve">, </w:t>
      </w:r>
      <w:r w:rsidRPr="0039326A">
        <w:t>whānau and communities.</w:t>
      </w:r>
    </w:p>
    <w:p w:rsidR="0088150A" w:rsidRPr="0075572C" w:rsidRDefault="0088150A" w:rsidP="00F5734C"/>
    <w:p w:rsidR="0088150A" w:rsidRPr="0075572C" w:rsidRDefault="0088150A" w:rsidP="00F5734C">
      <w:r w:rsidRPr="0075572C">
        <w:t xml:space="preserve">Service development will reflect the principle of </w:t>
      </w:r>
      <w:r>
        <w:t>m</w:t>
      </w:r>
      <w:r w:rsidRPr="0075572C">
        <w:t>anaakitanga (acting in a mana</w:t>
      </w:r>
      <w:r>
        <w:t>-</w:t>
      </w:r>
      <w:r w:rsidRPr="0075572C">
        <w:t xml:space="preserve">enhancing way). </w:t>
      </w:r>
      <w:r>
        <w:t>People</w:t>
      </w:r>
      <w:r w:rsidRPr="0075572C">
        <w:t xml:space="preserve"> entering into treatment services often have a diminished sense of mana</w:t>
      </w:r>
      <w:r>
        <w:t>,</w:t>
      </w:r>
      <w:r w:rsidRPr="0075572C">
        <w:t xml:space="preserve"> and may feel services treat them </w:t>
      </w:r>
      <w:r w:rsidR="00372802" w:rsidRPr="0075572C">
        <w:t xml:space="preserve">not </w:t>
      </w:r>
      <w:r w:rsidRPr="0075572C">
        <w:t xml:space="preserve">as part of the solution but as a problem. Services that </w:t>
      </w:r>
      <w:r>
        <w:t xml:space="preserve">demonstrate a shared culture of manaakitanga </w:t>
      </w:r>
      <w:r w:rsidRPr="0075572C">
        <w:t>will benefit people and groups</w:t>
      </w:r>
      <w:r>
        <w:t xml:space="preserve"> by:</w:t>
      </w:r>
    </w:p>
    <w:p w:rsidR="00A10EC0" w:rsidRDefault="0088150A" w:rsidP="00F5734C">
      <w:pPr>
        <w:pStyle w:val="Bullet"/>
      </w:pPr>
      <w:r>
        <w:t xml:space="preserve">recognising </w:t>
      </w:r>
      <w:r w:rsidRPr="0075572C">
        <w:t>and accept</w:t>
      </w:r>
      <w:r>
        <w:t>ing</w:t>
      </w:r>
      <w:r w:rsidRPr="0075572C">
        <w:t xml:space="preserve"> people</w:t>
      </w:r>
      <w:r w:rsidR="00A10EC0">
        <w:t>’</w:t>
      </w:r>
      <w:r w:rsidRPr="0075572C">
        <w:t>s worldviews and situations</w:t>
      </w:r>
    </w:p>
    <w:p w:rsidR="00A10EC0" w:rsidRDefault="0088150A" w:rsidP="00F5734C">
      <w:pPr>
        <w:pStyle w:val="Bullet"/>
      </w:pPr>
      <w:r w:rsidRPr="0075572C">
        <w:t>informing people and developing programmes about mana</w:t>
      </w:r>
    </w:p>
    <w:p w:rsidR="00A10EC0" w:rsidRDefault="0088150A" w:rsidP="00F5734C">
      <w:pPr>
        <w:pStyle w:val="Bullet"/>
      </w:pPr>
      <w:r w:rsidRPr="0075572C">
        <w:t>ensuring interactions uplift, uphold and enhance the mana of people and relationships</w:t>
      </w:r>
      <w:r>
        <w:t>.</w:t>
      </w:r>
    </w:p>
    <w:p w:rsidR="0088150A" w:rsidRDefault="0088150A" w:rsidP="00F5734C"/>
    <w:p w:rsidR="0088150A" w:rsidRPr="0075572C" w:rsidRDefault="0088150A" w:rsidP="00F5734C">
      <w:r>
        <w:t xml:space="preserve">The Ministry intends that </w:t>
      </w:r>
      <w:r w:rsidRPr="0075572C">
        <w:t>Māori</w:t>
      </w:r>
      <w:r>
        <w:t>-</w:t>
      </w:r>
      <w:r w:rsidRPr="0075572C">
        <w:t xml:space="preserve">informed values and principles </w:t>
      </w:r>
      <w:r>
        <w:t xml:space="preserve">will be </w:t>
      </w:r>
      <w:r w:rsidRPr="0075572C">
        <w:t xml:space="preserve">guidelines for thinking and acting in ways that will benefit others, and </w:t>
      </w:r>
      <w:r>
        <w:t>thereby</w:t>
      </w:r>
      <w:r w:rsidRPr="0075572C">
        <w:t xml:space="preserve"> confer benefits upon individual</w:t>
      </w:r>
      <w:r>
        <w:t>s</w:t>
      </w:r>
      <w:r w:rsidRPr="0075572C">
        <w:t>, group</w:t>
      </w:r>
      <w:r>
        <w:t>s</w:t>
      </w:r>
      <w:r w:rsidRPr="0075572C">
        <w:t xml:space="preserve"> </w:t>
      </w:r>
      <w:r>
        <w:t xml:space="preserve">and </w:t>
      </w:r>
      <w:r w:rsidRPr="0075572C">
        <w:t>communit</w:t>
      </w:r>
      <w:r>
        <w:t>ies</w:t>
      </w:r>
      <w:r w:rsidRPr="0075572C">
        <w:t>.</w:t>
      </w:r>
      <w:r w:rsidRPr="00F5734C">
        <w:rPr>
          <w:rStyle w:val="FootnoteReference"/>
        </w:rPr>
        <w:footnoteReference w:id="11"/>
      </w:r>
    </w:p>
    <w:p w:rsidR="0088150A" w:rsidRDefault="0088150A" w:rsidP="00F5734C"/>
    <w:p w:rsidR="00A10EC0" w:rsidRDefault="0088150A" w:rsidP="00F5734C">
      <w:r w:rsidRPr="00E312E8">
        <w:t>A key aspect of the Ministry</w:t>
      </w:r>
      <w:r w:rsidR="00A10EC0">
        <w:t>’</w:t>
      </w:r>
      <w:r w:rsidRPr="00E312E8">
        <w:t xml:space="preserve">s public health activity has been raising awareness of the </w:t>
      </w:r>
      <w:r>
        <w:t xml:space="preserve">signs of </w:t>
      </w:r>
      <w:r w:rsidRPr="00E312E8">
        <w:t>harm</w:t>
      </w:r>
      <w:r>
        <w:t xml:space="preserve">ful </w:t>
      </w:r>
      <w:r w:rsidRPr="00E312E8">
        <w:t>gambling.</w:t>
      </w:r>
      <w:r>
        <w:t xml:space="preserve"> </w:t>
      </w:r>
      <w:r w:rsidRPr="00E312E8">
        <w:t xml:space="preserve">The Ministry will continue to fund a multi-media drive to raise awareness, de-stigmatise </w:t>
      </w:r>
      <w:r>
        <w:t xml:space="preserve">harmful gambling </w:t>
      </w:r>
      <w:r w:rsidRPr="00E312E8">
        <w:t>and encourage people to seek help. Highlighting the actions expected and required of ga</w:t>
      </w:r>
      <w:r w:rsidRPr="00C10A99">
        <w:t>mbling venues as responsible hosts will also be a key focus.</w:t>
      </w:r>
    </w:p>
    <w:p w:rsidR="0088150A" w:rsidRPr="00C10A99" w:rsidRDefault="0088150A" w:rsidP="00F5734C"/>
    <w:p w:rsidR="00A10EC0" w:rsidRDefault="0088150A" w:rsidP="00F5734C">
      <w:r w:rsidRPr="00C10A99">
        <w:t xml:space="preserve">The Ministry will continue to focus on increasing buy-in from the wider government sector at a central level, to better address the wider issues associated with gambling harm. </w:t>
      </w:r>
      <w:r>
        <w:t xml:space="preserve">It </w:t>
      </w:r>
      <w:r w:rsidRPr="00C10A99">
        <w:t xml:space="preserve">will </w:t>
      </w:r>
      <w:r>
        <w:t xml:space="preserve">also </w:t>
      </w:r>
      <w:r w:rsidRPr="00C10A99">
        <w:t>continue to work closely with other government agencies. There is still considerable scope for wider screening of individuals and populations at risk of gambling harm, through work with other agencies.</w:t>
      </w:r>
    </w:p>
    <w:p w:rsidR="0088150A" w:rsidRDefault="0088150A" w:rsidP="00F5734C">
      <w:bookmarkStart w:id="89" w:name="_Toc514838693"/>
      <w:bookmarkStart w:id="90" w:name="_Toc517091230"/>
    </w:p>
    <w:p w:rsidR="0088150A" w:rsidRPr="00B75CBC" w:rsidRDefault="0088150A" w:rsidP="00F5734C">
      <w:pPr>
        <w:pStyle w:val="Table"/>
      </w:pPr>
      <w:bookmarkStart w:id="91" w:name="_Toc530487430"/>
      <w:bookmarkStart w:id="92" w:name="_Toc4156625"/>
      <w:bookmarkStart w:id="93" w:name="_Toc8398925"/>
      <w:r w:rsidRPr="00C10A99">
        <w:lastRenderedPageBreak/>
        <w:t xml:space="preserve">Table </w:t>
      </w:r>
      <w:r w:rsidRPr="007F7BB3">
        <w:fldChar w:fldCharType="begin"/>
      </w:r>
      <w:r w:rsidRPr="00C10A99">
        <w:instrText xml:space="preserve"> SEQ Table \* ARABIC </w:instrText>
      </w:r>
      <w:r w:rsidRPr="007F7BB3">
        <w:fldChar w:fldCharType="separate"/>
      </w:r>
      <w:r w:rsidR="0002049A">
        <w:rPr>
          <w:noProof/>
        </w:rPr>
        <w:t>7</w:t>
      </w:r>
      <w:r w:rsidRPr="007F7BB3">
        <w:fldChar w:fldCharType="end"/>
      </w:r>
      <w:r w:rsidRPr="00C10A99">
        <w:t xml:space="preserve">: Objective </w:t>
      </w:r>
      <w:r>
        <w:t>7 p</w:t>
      </w:r>
      <w:r w:rsidRPr="00C10A99">
        <w:t>riorities for action</w:t>
      </w:r>
      <w:bookmarkEnd w:id="89"/>
      <w:bookmarkEnd w:id="90"/>
      <w:bookmarkEnd w:id="91"/>
      <w:bookmarkEnd w:id="92"/>
      <w:bookmarkEnd w:id="93"/>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05"/>
        <w:gridCol w:w="3977"/>
      </w:tblGrid>
      <w:tr w:rsidR="0088150A" w:rsidRPr="00F5734C" w:rsidTr="003608D7">
        <w:trPr>
          <w:cantSplit/>
        </w:trPr>
        <w:tc>
          <w:tcPr>
            <w:tcW w:w="5000" w:type="pct"/>
            <w:gridSpan w:val="2"/>
            <w:tcBorders>
              <w:left w:val="nil"/>
              <w:bottom w:val="single" w:sz="4" w:space="0" w:color="auto"/>
              <w:right w:val="nil"/>
            </w:tcBorders>
            <w:shd w:val="clear" w:color="auto" w:fill="000000" w:themeFill="text1"/>
          </w:tcPr>
          <w:p w:rsidR="0088150A" w:rsidRPr="00F5734C" w:rsidRDefault="0088150A" w:rsidP="00F5734C">
            <w:pPr>
              <w:pStyle w:val="TableText"/>
              <w:rPr>
                <w:rFonts w:cs="Arial"/>
                <w:b/>
              </w:rPr>
            </w:pPr>
            <w:r w:rsidRPr="00F5734C">
              <w:rPr>
                <w:b/>
              </w:rPr>
              <w:t>Objective 7: Services enhance people</w:t>
            </w:r>
            <w:r w:rsidR="00A10EC0" w:rsidRPr="00F5734C">
              <w:rPr>
                <w:b/>
              </w:rPr>
              <w:t>’</w:t>
            </w:r>
            <w:r w:rsidRPr="00F5734C">
              <w:rPr>
                <w:b/>
              </w:rPr>
              <w:t xml:space="preserve">s mana and build life skills and resiliency to improve healthy choices </w:t>
            </w:r>
          </w:p>
        </w:tc>
      </w:tr>
      <w:tr w:rsidR="0088150A" w:rsidRPr="00F5734C" w:rsidTr="003608D7">
        <w:trPr>
          <w:cantSplit/>
        </w:trPr>
        <w:tc>
          <w:tcPr>
            <w:tcW w:w="5000" w:type="pct"/>
            <w:gridSpan w:val="2"/>
            <w:tcBorders>
              <w:top w:val="single" w:sz="4" w:space="0" w:color="auto"/>
              <w:left w:val="nil"/>
              <w:bottom w:val="nil"/>
              <w:right w:val="nil"/>
            </w:tcBorders>
            <w:shd w:val="clear" w:color="auto" w:fill="D9D9D9" w:themeFill="background1" w:themeFillShade="D9"/>
          </w:tcPr>
          <w:p w:rsidR="0088150A" w:rsidRPr="00F5734C" w:rsidRDefault="0088150A" w:rsidP="00F5734C">
            <w:pPr>
              <w:pStyle w:val="TableText"/>
              <w:jc w:val="center"/>
              <w:rPr>
                <w:b/>
              </w:rPr>
            </w:pPr>
            <w:r w:rsidRPr="00F5734C">
              <w:rPr>
                <w:b/>
              </w:rPr>
              <w:t>Priorities for action</w:t>
            </w:r>
          </w:p>
        </w:tc>
      </w:tr>
      <w:tr w:rsidR="0088150A" w:rsidRPr="00F5734C" w:rsidTr="003608D7">
        <w:trPr>
          <w:cantSplit/>
        </w:trPr>
        <w:tc>
          <w:tcPr>
            <w:tcW w:w="2509"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Short- to medium-term priorities</w:t>
            </w:r>
          </w:p>
        </w:tc>
        <w:tc>
          <w:tcPr>
            <w:tcW w:w="2491"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Long-term priorities</w:t>
            </w:r>
          </w:p>
        </w:tc>
      </w:tr>
      <w:tr w:rsidR="0088150A" w:rsidRPr="00C10A99" w:rsidTr="003608D7">
        <w:trPr>
          <w:cantSplit/>
          <w:trHeight w:val="566"/>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Default="0088150A" w:rsidP="00F5734C">
            <w:pPr>
              <w:pStyle w:val="TableText"/>
            </w:pPr>
            <w:r w:rsidRPr="00EB1F02">
              <w:t xml:space="preserve">Identify, monitor and provide information and education on the impacts of gambling, including the </w:t>
            </w:r>
            <w:r>
              <w:t xml:space="preserve">signs and </w:t>
            </w:r>
            <w:r w:rsidRPr="00EB1F02">
              <w:t xml:space="preserve">range of </w:t>
            </w:r>
            <w:r>
              <w:t xml:space="preserve">harmful </w:t>
            </w:r>
            <w:r w:rsidRPr="00EB1F02">
              <w:t>gambling that affect individuals, families</w:t>
            </w:r>
            <w:r w:rsidR="009C5BBD">
              <w:t xml:space="preserve">, </w:t>
            </w:r>
            <w:r w:rsidRPr="00EB1F02">
              <w:t>whānau and communities</w:t>
            </w:r>
            <w:r>
              <w:t>, and how to respond.</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t>Introduce service co-design and consumer networks to inform and evaluate activities to enhance mana and build resiliency.</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Default="0088150A" w:rsidP="00F5734C">
            <w:pPr>
              <w:pStyle w:val="TableText"/>
            </w:pPr>
            <w:r w:rsidRPr="00EB1F02">
              <w:t>Support communities to incorporate a robust understanding of gambling harm into community social initiatives and public service delivery</w:t>
            </w:r>
            <w:r>
              <w:t>.</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994E27">
            <w:pPr>
              <w:pStyle w:val="TableText"/>
            </w:pPr>
            <w:r w:rsidRPr="00EB1F02">
              <w:t xml:space="preserve">Together with the </w:t>
            </w:r>
            <w:r>
              <w:t>Health Promotion Agency (HPA)</w:t>
            </w:r>
            <w:r w:rsidRPr="00EB1F02">
              <w:t xml:space="preserve"> and DIA, support gambling operators and gambling venue operators to incorporate a robust understanding of gambling harm into their operations and activities</w:t>
            </w:r>
            <w:r>
              <w:t>, to improve their ability to recognise and respond to indicators of gambling harm.</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88150A" w:rsidRPr="00EB1F02" w:rsidRDefault="0088150A" w:rsidP="00F5734C">
            <w:pPr>
              <w:pStyle w:val="TableText"/>
            </w:pPr>
            <w:r>
              <w:t>Pilot initiatives that enhance people</w:t>
            </w:r>
            <w:r w:rsidR="00A10EC0">
              <w:t>’</w:t>
            </w:r>
            <w:r>
              <w:t>s mana and build life skills and resiliency to improve healthy choices.</w:t>
            </w:r>
          </w:p>
        </w:tc>
      </w:tr>
    </w:tbl>
    <w:p w:rsidR="0088150A" w:rsidRPr="00E312E8" w:rsidRDefault="0088150A" w:rsidP="00F5734C">
      <w:pPr>
        <w:pStyle w:val="Heading4"/>
      </w:pPr>
      <w:r w:rsidRPr="00E312E8">
        <w:t xml:space="preserve">Underlying principles: </w:t>
      </w:r>
      <w:r>
        <w:t>o</w:t>
      </w:r>
      <w:r w:rsidRPr="00E312E8">
        <w:t>ne team/</w:t>
      </w:r>
      <w:r>
        <w:t>k</w:t>
      </w:r>
      <w:r w:rsidRPr="00E312E8">
        <w:t>otahi te tīma</w:t>
      </w:r>
    </w:p>
    <w:p w:rsidR="0088150A" w:rsidRDefault="0088150A" w:rsidP="00F5734C">
      <w:r w:rsidRPr="00E312E8">
        <w:t>The Ministry is working to build a more cohesive</w:t>
      </w:r>
      <w:r>
        <w:t xml:space="preserve">, integrated and </w:t>
      </w:r>
      <w:r w:rsidRPr="00E312E8">
        <w:t>collaborative</w:t>
      </w:r>
      <w:r w:rsidRPr="00B47FDC">
        <w:t xml:space="preserve"> approach across the health and disability system</w:t>
      </w:r>
      <w:r>
        <w:t xml:space="preserve">, </w:t>
      </w:r>
      <w:r w:rsidRPr="00B47FDC">
        <w:t>towards shared goals and beyond organisational boundaries</w:t>
      </w:r>
      <w:r>
        <w:t xml:space="preserve">, </w:t>
      </w:r>
      <w:r w:rsidRPr="00B47FDC">
        <w:t>to proactively help p</w:t>
      </w:r>
      <w:r w:rsidRPr="00C10A99">
        <w:t>eople and populations in need.</w:t>
      </w:r>
    </w:p>
    <w:p w:rsidR="0088150A" w:rsidRDefault="0088150A" w:rsidP="00F5734C"/>
    <w:p w:rsidR="0088150A" w:rsidRDefault="0088150A" w:rsidP="00F5734C">
      <w:r>
        <w:t>Building on the experience in the addictions sector in particular (addressing harms from alcohol, tobacco and drugs), the Ministry will encourage appropriate collaborative partnerships among services providers and related stakeholders; for example, by promoting co-design and including consumer networks.</w:t>
      </w:r>
    </w:p>
    <w:p w:rsidR="0088150A" w:rsidRPr="00B47FDC" w:rsidRDefault="0088150A" w:rsidP="00F5734C">
      <w:pPr>
        <w:pStyle w:val="Heading3"/>
        <w:numPr>
          <w:ilvl w:val="0"/>
          <w:numId w:val="0"/>
        </w:numPr>
      </w:pPr>
      <w:r w:rsidRPr="00C10A99">
        <w:t>Objective 8:</w:t>
      </w:r>
      <w:r>
        <w:t xml:space="preserve"> </w:t>
      </w:r>
      <w:r w:rsidRPr="00E312E8">
        <w:t>Gambling environments are designed to prevent and minimise gambling harm</w:t>
      </w:r>
    </w:p>
    <w:p w:rsidR="0088150A" w:rsidRPr="00C10A99" w:rsidRDefault="0088150A" w:rsidP="00F5734C">
      <w:r w:rsidRPr="00C10A99">
        <w:t>There is compelling evidence that certain types of gambling are more likely to be associated with harm than others.</w:t>
      </w:r>
    </w:p>
    <w:p w:rsidR="00F5734C" w:rsidRDefault="00F5734C" w:rsidP="00F5734C"/>
    <w:p w:rsidR="00A10EC0" w:rsidRDefault="0088150A" w:rsidP="00F5734C">
      <w:pPr>
        <w:rPr>
          <w:szCs w:val="22"/>
        </w:rPr>
      </w:pPr>
      <w:r w:rsidRPr="00C10A99">
        <w:t xml:space="preserve">The Ministry will continue to advocate for technological and/or environmental changes to gambling environments that are likely to have a positive effect on </w:t>
      </w:r>
      <w:r w:rsidR="00474197">
        <w:t xml:space="preserve">reducing harmful </w:t>
      </w:r>
      <w:r w:rsidRPr="00C10A99">
        <w:t>gambling behaviour and be cost</w:t>
      </w:r>
      <w:r>
        <w:t>-</w:t>
      </w:r>
      <w:r w:rsidRPr="00C10A99">
        <w:t>effective</w:t>
      </w:r>
      <w:r>
        <w:t xml:space="preserve">. It intends to focus on greater use of technology to monitor and manage gambling </w:t>
      </w:r>
      <w:r w:rsidRPr="007E3D27">
        <w:t xml:space="preserve">environments and gambling </w:t>
      </w:r>
      <w:r w:rsidRPr="007E3D27">
        <w:rPr>
          <w:szCs w:val="22"/>
        </w:rPr>
        <w:t>behavio</w:t>
      </w:r>
      <w:r w:rsidRPr="00761A2D">
        <w:rPr>
          <w:szCs w:val="22"/>
        </w:rPr>
        <w:t xml:space="preserve">urs </w:t>
      </w:r>
      <w:r w:rsidRPr="006C12AC">
        <w:rPr>
          <w:szCs w:val="22"/>
        </w:rPr>
        <w:t xml:space="preserve">over the course of this </w:t>
      </w:r>
      <w:r w:rsidRPr="00223225">
        <w:rPr>
          <w:szCs w:val="22"/>
        </w:rPr>
        <w:t>strategic plan</w:t>
      </w:r>
      <w:r>
        <w:rPr>
          <w:szCs w:val="22"/>
        </w:rPr>
        <w:t>,</w:t>
      </w:r>
      <w:r w:rsidRPr="0026365E">
        <w:rPr>
          <w:szCs w:val="22"/>
        </w:rPr>
        <w:t xml:space="preserve"> and has set aside resources to pilot new and </w:t>
      </w:r>
      <w:r w:rsidRPr="00A1247A">
        <w:rPr>
          <w:szCs w:val="22"/>
        </w:rPr>
        <w:t>innovative</w:t>
      </w:r>
      <w:r w:rsidRPr="00F24893">
        <w:rPr>
          <w:szCs w:val="22"/>
        </w:rPr>
        <w:t xml:space="preserve"> uses of technology</w:t>
      </w:r>
      <w:r>
        <w:rPr>
          <w:szCs w:val="22"/>
        </w:rPr>
        <w:t xml:space="preserve"> that may </w:t>
      </w:r>
      <w:r w:rsidRPr="00F24893">
        <w:rPr>
          <w:szCs w:val="22"/>
        </w:rPr>
        <w:t>include</w:t>
      </w:r>
      <w:r w:rsidR="00F5734C">
        <w:rPr>
          <w:szCs w:val="22"/>
        </w:rPr>
        <w:t>:</w:t>
      </w:r>
    </w:p>
    <w:p w:rsidR="0088150A" w:rsidRPr="008B118B" w:rsidRDefault="0088150A" w:rsidP="00F5734C">
      <w:pPr>
        <w:pStyle w:val="Bullet"/>
        <w:keepNext/>
      </w:pPr>
      <w:r w:rsidRPr="008B118B">
        <w:t>technology-based support for people at risk of or affected by harmful gambling, such as online self-help and support services</w:t>
      </w:r>
    </w:p>
    <w:p w:rsidR="0088150A" w:rsidRPr="008B118B" w:rsidRDefault="0088150A" w:rsidP="00F5734C">
      <w:pPr>
        <w:pStyle w:val="Bullet"/>
      </w:pPr>
      <w:r w:rsidRPr="008B118B">
        <w:t>tools to support gamblers and host venues to monitor for signs of harmful gambling and enable gamblers to set limits on their gambling activity</w:t>
      </w:r>
    </w:p>
    <w:p w:rsidR="00A10EC0" w:rsidRDefault="00474197" w:rsidP="00F5734C">
      <w:pPr>
        <w:pStyle w:val="Bullet"/>
      </w:pPr>
      <w:r>
        <w:lastRenderedPageBreak/>
        <w:t xml:space="preserve">use of </w:t>
      </w:r>
      <w:r w:rsidR="0088150A" w:rsidRPr="008B118B">
        <w:t xml:space="preserve">facial recognition tools </w:t>
      </w:r>
      <w:r>
        <w:t xml:space="preserve">by industry </w:t>
      </w:r>
      <w:r w:rsidR="0088150A" w:rsidRPr="008B118B">
        <w:t xml:space="preserve">to </w:t>
      </w:r>
      <w:r>
        <w:t>support MVE  and other harm minimisation</w:t>
      </w:r>
      <w:r w:rsidR="0088150A" w:rsidRPr="008B118B">
        <w:t xml:space="preserve"> policies .</w:t>
      </w:r>
    </w:p>
    <w:p w:rsidR="0088150A" w:rsidRDefault="0088150A" w:rsidP="00F5734C"/>
    <w:p w:rsidR="0088150A" w:rsidRDefault="0088150A" w:rsidP="00F5734C">
      <w:r w:rsidRPr="00C10A99">
        <w:t>Gambling venues are one of the best environments in which to observe, identify and intervene in potentially harmful gambling. The Ministry</w:t>
      </w:r>
      <w:r w:rsidR="00372802">
        <w:t>,</w:t>
      </w:r>
      <w:r>
        <w:t xml:space="preserve"> DIA </w:t>
      </w:r>
      <w:r w:rsidRPr="00C10A99">
        <w:t xml:space="preserve">and </w:t>
      </w:r>
      <w:r>
        <w:t>HPA</w:t>
      </w:r>
      <w:r w:rsidRPr="00C10A99">
        <w:t xml:space="preserve"> are committed to working with operators to maximise venues</w:t>
      </w:r>
      <w:r w:rsidR="00A10EC0">
        <w:t>’</w:t>
      </w:r>
      <w:r w:rsidRPr="00C10A99">
        <w:t xml:space="preserve"> potential </w:t>
      </w:r>
      <w:r>
        <w:t xml:space="preserve">for </w:t>
      </w:r>
      <w:r w:rsidRPr="00C10A99">
        <w:t>offer</w:t>
      </w:r>
      <w:r>
        <w:t>ing</w:t>
      </w:r>
      <w:r w:rsidRPr="00C10A99">
        <w:t xml:space="preserve"> safe gambling environments and </w:t>
      </w:r>
      <w:r>
        <w:t>detecting harmful</w:t>
      </w:r>
      <w:r w:rsidRPr="00C10A99">
        <w:t xml:space="preserve"> gambling</w:t>
      </w:r>
      <w:r>
        <w:t xml:space="preserve"> at an early stage</w:t>
      </w:r>
      <w:r w:rsidRPr="00C10A99">
        <w:t xml:space="preserve">. The Ministry will also support DIA </w:t>
      </w:r>
      <w:r>
        <w:t>to</w:t>
      </w:r>
      <w:r w:rsidRPr="00C10A99">
        <w:t xml:space="preserve"> judicious</w:t>
      </w:r>
      <w:r>
        <w:t>ly</w:t>
      </w:r>
      <w:r w:rsidRPr="00C10A99">
        <w:t xml:space="preserve"> and effective</w:t>
      </w:r>
      <w:r>
        <w:t>ly</w:t>
      </w:r>
      <w:r w:rsidRPr="00C10A99">
        <w:t xml:space="preserve"> use its regulatory tools </w:t>
      </w:r>
      <w:r>
        <w:t>to deal with</w:t>
      </w:r>
      <w:r w:rsidRPr="00C10A99">
        <w:t xml:space="preserve"> operators or venues </w:t>
      </w:r>
      <w:r>
        <w:t xml:space="preserve">that </w:t>
      </w:r>
      <w:r w:rsidRPr="00C10A99">
        <w:t>do not meet legal requirements.</w:t>
      </w:r>
    </w:p>
    <w:p w:rsidR="0088150A" w:rsidRPr="00C10A99" w:rsidRDefault="0088150A" w:rsidP="00F5734C"/>
    <w:p w:rsidR="0088150A" w:rsidRDefault="0088150A" w:rsidP="00F5734C">
      <w:r w:rsidRPr="00C10A99">
        <w:t xml:space="preserve">The location of </w:t>
      </w:r>
      <w:r>
        <w:t>EGMs</w:t>
      </w:r>
      <w:r w:rsidRPr="00C10A99">
        <w:t xml:space="preserve"> in high</w:t>
      </w:r>
      <w:r>
        <w:t>-</w:t>
      </w:r>
      <w:r w:rsidRPr="00C10A99">
        <w:t xml:space="preserve">risk areas </w:t>
      </w:r>
      <w:r>
        <w:t xml:space="preserve">(most notably areas of high deprivation) </w:t>
      </w:r>
      <w:r w:rsidRPr="00C10A99">
        <w:t>is a long-standing area of concern. The Ministry will continue to support promoting awareness of safe gambling environments</w:t>
      </w:r>
      <w:r>
        <w:t xml:space="preserve">, </w:t>
      </w:r>
      <w:r w:rsidRPr="00C10A99">
        <w:t xml:space="preserve">to improve access to gambling harm prevention services in </w:t>
      </w:r>
      <w:r>
        <w:t>high-risk</w:t>
      </w:r>
      <w:r w:rsidRPr="00C10A99">
        <w:t xml:space="preserve"> areas and to work with DIA </w:t>
      </w:r>
      <w:r>
        <w:t>on its risk-based regulatory approach that guides where regulatory actions should be applied. A particular focus in the next levy period will be NCGM locations and guidance to local authorities and other regulators.</w:t>
      </w:r>
    </w:p>
    <w:p w:rsidR="0088150A" w:rsidRDefault="0088150A" w:rsidP="00F5734C"/>
    <w:p w:rsidR="00A10EC0" w:rsidRDefault="0088150A" w:rsidP="00F5734C">
      <w:r>
        <w:t>Host responsibility training will continue to be an important part of work under this objective. There will be a renewed emphasis on materials related to cultural competence, and how to effectively and appropriately engage with gamblers and their family</w:t>
      </w:r>
      <w:r w:rsidR="00281081">
        <w:t xml:space="preserve"> and </w:t>
      </w:r>
      <w:r>
        <w:t>wh</w:t>
      </w:r>
      <w:r w:rsidRPr="00EB1F02">
        <w:t>ā</w:t>
      </w:r>
      <w:r>
        <w:t>nau from diverse cultural backgrounds.</w:t>
      </w:r>
    </w:p>
    <w:p w:rsidR="00F5734C" w:rsidRDefault="00F5734C" w:rsidP="00F5734C"/>
    <w:p w:rsidR="0088150A" w:rsidRPr="00B75CBC" w:rsidRDefault="0088150A" w:rsidP="00F5734C">
      <w:pPr>
        <w:pStyle w:val="Table"/>
      </w:pPr>
      <w:bookmarkStart w:id="94" w:name="_Toc514838696"/>
      <w:bookmarkStart w:id="95" w:name="_Toc517091233"/>
      <w:bookmarkStart w:id="96" w:name="_Toc530487431"/>
      <w:bookmarkStart w:id="97" w:name="_Toc4156626"/>
      <w:bookmarkStart w:id="98" w:name="_Toc8398926"/>
      <w:r w:rsidRPr="00C10A99">
        <w:t xml:space="preserve">Table </w:t>
      </w:r>
      <w:r w:rsidRPr="007F7BB3">
        <w:fldChar w:fldCharType="begin"/>
      </w:r>
      <w:r w:rsidRPr="00C10A99">
        <w:instrText xml:space="preserve"> SEQ Table \* ARABIC </w:instrText>
      </w:r>
      <w:r w:rsidRPr="007F7BB3">
        <w:fldChar w:fldCharType="separate"/>
      </w:r>
      <w:r w:rsidR="0002049A">
        <w:rPr>
          <w:noProof/>
        </w:rPr>
        <w:t>8</w:t>
      </w:r>
      <w:r w:rsidRPr="007F7BB3">
        <w:fldChar w:fldCharType="end"/>
      </w:r>
      <w:r w:rsidRPr="00C10A99">
        <w:t>: Objective 8</w:t>
      </w:r>
      <w:r>
        <w:t xml:space="preserve"> p</w:t>
      </w:r>
      <w:r w:rsidRPr="00C10A99">
        <w:t>riorities for action</w:t>
      </w:r>
      <w:bookmarkEnd w:id="94"/>
      <w:bookmarkEnd w:id="95"/>
      <w:bookmarkEnd w:id="96"/>
      <w:bookmarkEnd w:id="97"/>
      <w:bookmarkEnd w:id="98"/>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91"/>
        <w:gridCol w:w="3991"/>
      </w:tblGrid>
      <w:tr w:rsidR="0088150A" w:rsidRPr="00F5734C" w:rsidTr="003608D7">
        <w:trPr>
          <w:cantSplit/>
        </w:trPr>
        <w:tc>
          <w:tcPr>
            <w:tcW w:w="5000" w:type="pct"/>
            <w:gridSpan w:val="2"/>
            <w:tcBorders>
              <w:top w:val="single" w:sz="4" w:space="0" w:color="auto"/>
              <w:left w:val="nil"/>
              <w:bottom w:val="nil"/>
              <w:right w:val="nil"/>
            </w:tcBorders>
            <w:shd w:val="clear" w:color="auto" w:fill="000000" w:themeFill="text1"/>
          </w:tcPr>
          <w:p w:rsidR="0088150A" w:rsidRPr="00F5734C" w:rsidRDefault="0088150A" w:rsidP="00F5734C">
            <w:pPr>
              <w:pStyle w:val="TableText"/>
              <w:keepNext/>
              <w:rPr>
                <w:b/>
              </w:rPr>
            </w:pPr>
            <w:r w:rsidRPr="00F5734C">
              <w:rPr>
                <w:b/>
              </w:rPr>
              <w:t>Objective 8: Gambling environments are designed to prevent and minimise gambling harm</w:t>
            </w:r>
          </w:p>
        </w:tc>
      </w:tr>
      <w:tr w:rsidR="0088150A" w:rsidRPr="00F5734C" w:rsidTr="003608D7">
        <w:trPr>
          <w:cantSplit/>
        </w:trPr>
        <w:tc>
          <w:tcPr>
            <w:tcW w:w="5000" w:type="pct"/>
            <w:gridSpan w:val="2"/>
            <w:tcBorders>
              <w:top w:val="nil"/>
              <w:left w:val="nil"/>
              <w:bottom w:val="nil"/>
              <w:right w:val="nil"/>
            </w:tcBorders>
            <w:shd w:val="clear" w:color="auto" w:fill="D9D9D9" w:themeFill="background1" w:themeFillShade="D9"/>
          </w:tcPr>
          <w:p w:rsidR="0088150A" w:rsidRPr="00F5734C" w:rsidRDefault="0088150A" w:rsidP="00F5734C">
            <w:pPr>
              <w:pStyle w:val="TableText"/>
              <w:keepNext/>
              <w:jc w:val="center"/>
              <w:rPr>
                <w:b/>
              </w:rPr>
            </w:pPr>
            <w:r w:rsidRPr="00F5734C">
              <w:rPr>
                <w:b/>
              </w:rPr>
              <w:t>Priorities for action</w:t>
            </w:r>
          </w:p>
        </w:tc>
      </w:tr>
      <w:tr w:rsidR="0088150A" w:rsidRPr="00F5734C" w:rsidTr="003608D7">
        <w:trPr>
          <w:cantSplit/>
        </w:trPr>
        <w:tc>
          <w:tcPr>
            <w:tcW w:w="2500" w:type="pct"/>
            <w:tcBorders>
              <w:top w:val="nil"/>
              <w:left w:val="nil"/>
              <w:bottom w:val="single" w:sz="4" w:space="0" w:color="auto"/>
              <w:right w:val="nil"/>
            </w:tcBorders>
            <w:shd w:val="clear" w:color="auto" w:fill="auto"/>
          </w:tcPr>
          <w:p w:rsidR="0088150A" w:rsidRPr="00F5734C" w:rsidRDefault="0088150A" w:rsidP="00F5734C">
            <w:pPr>
              <w:pStyle w:val="TableText"/>
              <w:keepNext/>
              <w:jc w:val="center"/>
              <w:rPr>
                <w:b/>
              </w:rPr>
            </w:pPr>
            <w:r w:rsidRPr="00F5734C">
              <w:rPr>
                <w:b/>
              </w:rPr>
              <w:t>Short- to medium-term priorities</w:t>
            </w:r>
          </w:p>
        </w:tc>
        <w:tc>
          <w:tcPr>
            <w:tcW w:w="2500" w:type="pct"/>
            <w:tcBorders>
              <w:top w:val="nil"/>
              <w:left w:val="nil"/>
              <w:bottom w:val="single" w:sz="4" w:space="0" w:color="auto"/>
              <w:right w:val="nil"/>
            </w:tcBorders>
            <w:shd w:val="clear" w:color="auto" w:fill="auto"/>
          </w:tcPr>
          <w:p w:rsidR="0088150A" w:rsidRPr="00F5734C" w:rsidRDefault="0088150A" w:rsidP="00F5734C">
            <w:pPr>
              <w:pStyle w:val="TableText"/>
              <w:keepNext/>
              <w:jc w:val="center"/>
              <w:rPr>
                <w:b/>
              </w:rPr>
            </w:pPr>
            <w:r w:rsidRPr="00F5734C">
              <w:rPr>
                <w:b/>
              </w:rPr>
              <w:t>Long-term priorities</w:t>
            </w:r>
          </w:p>
        </w:tc>
      </w:tr>
      <w:tr w:rsidR="0088150A" w:rsidRPr="00C10A99" w:rsidTr="003608D7">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994E27">
            <w:pPr>
              <w:pStyle w:val="TableText"/>
              <w:keepNext/>
            </w:pPr>
            <w:r w:rsidRPr="00EB1F02">
              <w:t>Continue to build strong relationships with</w:t>
            </w:r>
            <w:r>
              <w:t xml:space="preserve"> </w:t>
            </w:r>
            <w:r w:rsidRPr="00EB1F02">
              <w:t>DIA, gambling operators and gambling venue operators</w:t>
            </w:r>
            <w:r>
              <w:t xml:space="preserve"> and communities to encourage safer gambling environments.</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Default="0088150A" w:rsidP="00994E27">
            <w:pPr>
              <w:pStyle w:val="TableText"/>
              <w:keepNext/>
            </w:pPr>
            <w:r>
              <w:t>In collaboration with DIA and other stakeholders, promote innovative use of technology (eg,</w:t>
            </w:r>
            <w:r w:rsidR="007F1FFF">
              <w:t xml:space="preserve"> </w:t>
            </w:r>
            <w:r>
              <w:t>such as for facial recognition) to help monitor the gambling environment, to make gambling environments less harmful and to support gamblers at risk of or experiencing gambling harm.</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994E27">
            <w:pPr>
              <w:pStyle w:val="TableText"/>
              <w:keepNext/>
            </w:pPr>
            <w:r>
              <w:t>S</w:t>
            </w:r>
            <w:r w:rsidRPr="00EB1F02">
              <w:t xml:space="preserve">upport DIA in the </w:t>
            </w:r>
            <w:r>
              <w:t xml:space="preserve">proportionate </w:t>
            </w:r>
            <w:r w:rsidRPr="00EB1F02">
              <w:t>and effective use of its regulatory tools to prevent and minimise gambling harm</w:t>
            </w:r>
            <w:r>
              <w:t>, including a continued focus on harm prevention and minimisation in gambling venues; for example, through inspections and DIA</w:t>
            </w:r>
            <w:r w:rsidR="00A10EC0">
              <w:t>’</w:t>
            </w:r>
            <w:r>
              <w:t>s Mystery Shopper campaign</w:t>
            </w:r>
            <w:r w:rsidR="00F5734C">
              <w:t>.</w:t>
            </w:r>
            <w:r w:rsidRPr="00F5734C">
              <w:rPr>
                <w:rStyle w:val="FootnoteReference"/>
              </w:rPr>
              <w:footnoteReference w:id="12"/>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keepNext/>
            </w:pPr>
            <w:r w:rsidRPr="00EB1F02">
              <w:t xml:space="preserve">Encourage </w:t>
            </w:r>
            <w:r>
              <w:t>consumer</w:t>
            </w:r>
            <w:r w:rsidRPr="00EB1F02">
              <w:t xml:space="preserve"> and service involvement in monitoring gambling operators</w:t>
            </w:r>
            <w:r w:rsidR="00A10EC0">
              <w:t>’</w:t>
            </w:r>
            <w:r w:rsidRPr="00EB1F02">
              <w:t xml:space="preserve"> and gambling venue operators</w:t>
            </w:r>
            <w:r w:rsidR="00A10EC0">
              <w:t>’</w:t>
            </w:r>
            <w:r w:rsidRPr="00EB1F02">
              <w:t xml:space="preserve"> compliance with their harm prevention and minimisation responsibilities</w:t>
            </w:r>
            <w:r>
              <w:t>.</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994E27">
            <w:pPr>
              <w:pStyle w:val="TableText"/>
              <w:keepNext/>
            </w:pPr>
            <w:r>
              <w:t>Encourage DIA and HPA to engage with the consumer network and service providers to develop and evaluate host responsibility training; particularly training in culturally appropriate ways to engage with gambling patrons and to recognise when this is required.</w:t>
            </w:r>
          </w:p>
        </w:tc>
      </w:tr>
      <w:tr w:rsidR="00F5734C" w:rsidRPr="00C10A99" w:rsidTr="00F5734C">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F5734C" w:rsidRPr="00F5734C" w:rsidRDefault="00F5734C" w:rsidP="00994E27">
            <w:pPr>
              <w:pStyle w:val="TableText"/>
            </w:pPr>
            <w:r w:rsidRPr="0018140C">
              <w:t>Continue to work with DIA and HPA to encourage and support regional gambling</w:t>
            </w:r>
            <w:r w:rsidRPr="00EB1F02">
              <w:t xml:space="preserve"> harm service providers to work with venues in their area and to educate and support their harm minimisation practices.</w:t>
            </w:r>
          </w:p>
        </w:tc>
      </w:tr>
      <w:tr w:rsidR="0088150A" w:rsidRPr="00C10A99" w:rsidTr="00F5734C">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C10A99" w:rsidRDefault="0088150A" w:rsidP="00F5734C">
            <w:pPr>
              <w:pStyle w:val="TableText"/>
            </w:pPr>
            <w:r>
              <w:t>Ensure training or train-the-trainer materials include appropriate cultural competence and cultural awareness materials, to enable staff to intervene in a culturally appropriate manner</w:t>
            </w:r>
            <w:r w:rsidR="00A10EC0">
              <w:t xml:space="preserve"> </w:t>
            </w:r>
          </w:p>
        </w:tc>
      </w:tr>
      <w:tr w:rsidR="0088150A" w:rsidRPr="00C10A99" w:rsidTr="00F5734C">
        <w:trPr>
          <w:cantSplit/>
          <w:trHeight w:val="1637"/>
        </w:trPr>
        <w:tc>
          <w:tcPr>
            <w:tcW w:w="2500" w:type="pct"/>
            <w:tcBorders>
              <w:top w:val="single" w:sz="4" w:space="0" w:color="A6A6A6" w:themeColor="background1" w:themeShade="A6"/>
              <w:left w:val="nil"/>
              <w:bottom w:val="single" w:sz="4" w:space="0" w:color="auto"/>
              <w:right w:val="nil"/>
            </w:tcBorders>
            <w:shd w:val="clear" w:color="auto" w:fill="auto"/>
          </w:tcPr>
          <w:p w:rsidR="0088150A" w:rsidRPr="00EB1F02" w:rsidRDefault="0088150A" w:rsidP="00994E27">
            <w:pPr>
              <w:pStyle w:val="TableText"/>
              <w:ind w:right="284"/>
            </w:pPr>
            <w:r w:rsidRPr="00EB1F02">
              <w:lastRenderedPageBreak/>
              <w:t>Support HPA</w:t>
            </w:r>
            <w:r>
              <w:t xml:space="preserve"> and DIA</w:t>
            </w:r>
            <w:r w:rsidRPr="00EB1F02">
              <w:t xml:space="preserve"> to embed work with class</w:t>
            </w:r>
            <w:r>
              <w:t> </w:t>
            </w:r>
            <w:r w:rsidRPr="00EB1F02">
              <w:t xml:space="preserve">4 </w:t>
            </w:r>
            <w:r>
              <w:t xml:space="preserve">gambling </w:t>
            </w:r>
            <w:r w:rsidRPr="00EB1F02">
              <w:t>operators to identify potentially harmful gambling behaviour and take effective action to prevent and minimise harm</w:t>
            </w:r>
            <w:r>
              <w:t>.</w:t>
            </w:r>
          </w:p>
        </w:tc>
        <w:tc>
          <w:tcPr>
            <w:tcW w:w="2500" w:type="pct"/>
            <w:tcBorders>
              <w:top w:val="single" w:sz="4" w:space="0" w:color="A6A6A6" w:themeColor="background1" w:themeShade="A6"/>
              <w:left w:val="nil"/>
              <w:bottom w:val="single" w:sz="4" w:space="0" w:color="auto"/>
              <w:right w:val="nil"/>
            </w:tcBorders>
            <w:shd w:val="clear" w:color="auto" w:fill="auto"/>
          </w:tcPr>
          <w:p w:rsidR="0088150A" w:rsidRPr="00EB1F02" w:rsidRDefault="0088150A" w:rsidP="00F5734C">
            <w:pPr>
              <w:pStyle w:val="TableText"/>
            </w:pPr>
            <w:r w:rsidRPr="00EB1F02">
              <w:t xml:space="preserve">Develop and refine guidelines/train-the-trainers training to promote host responsibility in other gambling environments (including online environments) so operators can identify potentially harmful gambling behaviour and take effective action to prevent and minimise gambling harm and create safer gambling </w:t>
            </w:r>
            <w:r w:rsidRPr="00C10A99">
              <w:t>environments</w:t>
            </w:r>
            <w:r w:rsidR="00F5734C">
              <w:t>.</w:t>
            </w:r>
          </w:p>
        </w:tc>
      </w:tr>
    </w:tbl>
    <w:p w:rsidR="003F217A" w:rsidRDefault="003F217A" w:rsidP="003F217A"/>
    <w:p w:rsidR="0088150A" w:rsidRDefault="0088150A" w:rsidP="00F5734C">
      <w:pPr>
        <w:pStyle w:val="Heading4"/>
      </w:pPr>
      <w:r w:rsidRPr="00EB1F02">
        <w:t xml:space="preserve">Underlying principles: </w:t>
      </w:r>
      <w:r>
        <w:t>c</w:t>
      </w:r>
      <w:r w:rsidRPr="00EB1F02">
        <w:t>loser to home/</w:t>
      </w:r>
      <w:r>
        <w:t>k</w:t>
      </w:r>
      <w:r w:rsidRPr="00EB1F02">
        <w:t>a aro mai kit e kāinga</w:t>
      </w:r>
    </w:p>
    <w:p w:rsidR="0088150A" w:rsidRPr="00F5734C" w:rsidRDefault="0088150A" w:rsidP="00F5734C">
      <w:r w:rsidRPr="00EB1F02">
        <w:t xml:space="preserve">Good health begins at home and in communities, so it makes sense to promote the development and implementation of regulatory and policy settings that </w:t>
      </w:r>
      <w:r w:rsidRPr="00F5734C">
        <w:t>create safer gambling environments, particularly for people and communities at greater risk of moderate to high levels of gambling harm. This involves enabling systemic changes to innovate and deliver more effective services that will minimise and prevent gambling harm, to keep people and communities well and to reduce the level of gambling harm people experience.</w:t>
      </w:r>
    </w:p>
    <w:p w:rsidR="0088150A" w:rsidRPr="00E312E8" w:rsidRDefault="0088150A" w:rsidP="00F5734C">
      <w:pPr>
        <w:pStyle w:val="Heading3"/>
        <w:numPr>
          <w:ilvl w:val="0"/>
          <w:numId w:val="0"/>
        </w:numPr>
      </w:pPr>
      <w:r w:rsidRPr="00E312E8">
        <w:t>Objective 9:</w:t>
      </w:r>
      <w:r>
        <w:t xml:space="preserve"> </w:t>
      </w:r>
      <w:r w:rsidRPr="00E312E8">
        <w:t xml:space="preserve">Services raise awareness about the range </w:t>
      </w:r>
      <w:r>
        <w:t xml:space="preserve">and signs </w:t>
      </w:r>
      <w:r w:rsidRPr="00E312E8">
        <w:t>of gambling harms that affect individuals, families/whānau and communities</w:t>
      </w:r>
    </w:p>
    <w:p w:rsidR="0088150A" w:rsidRDefault="0088150A" w:rsidP="00F5734C">
      <w:r w:rsidRPr="00E312E8">
        <w:t>Families</w:t>
      </w:r>
      <w:r w:rsidR="009C5BBD">
        <w:t xml:space="preserve"> and </w:t>
      </w:r>
      <w:r w:rsidRPr="00E312E8">
        <w:t>whānau of problem gamblers can be badly affected by gambling harm. The Ministry therefore places great importance on</w:t>
      </w:r>
      <w:r>
        <w:t xml:space="preserve"> improving health literacy, to drive behavioural change by </w:t>
      </w:r>
      <w:r w:rsidRPr="00E312E8">
        <w:t>help</w:t>
      </w:r>
      <w:r>
        <w:t>ing</w:t>
      </w:r>
      <w:r w:rsidRPr="00E312E8">
        <w:t xml:space="preserve"> families</w:t>
      </w:r>
      <w:r w:rsidR="009C5BBD">
        <w:t xml:space="preserve"> and </w:t>
      </w:r>
      <w:r w:rsidRPr="00E312E8">
        <w:t xml:space="preserve">whānau </w:t>
      </w:r>
      <w:r>
        <w:t xml:space="preserve">to </w:t>
      </w:r>
      <w:r w:rsidRPr="00E312E8">
        <w:t>recognise and address issues associated with gambling harm</w:t>
      </w:r>
      <w:r w:rsidRPr="00C10A99">
        <w:t xml:space="preserve"> and </w:t>
      </w:r>
      <w:r>
        <w:t xml:space="preserve">to apply </w:t>
      </w:r>
      <w:r w:rsidRPr="00C10A99">
        <w:t>appropriate self-help or help-seeking behaviours.</w:t>
      </w:r>
    </w:p>
    <w:p w:rsidR="0088150A" w:rsidRDefault="0088150A" w:rsidP="00F5734C"/>
    <w:p w:rsidR="0088150A" w:rsidRDefault="0088150A" w:rsidP="00F5734C">
      <w:r w:rsidRPr="00C10A99">
        <w:t>The Ministry will continue to work with HPA and other relevant organisations to target at</w:t>
      </w:r>
      <w:r>
        <w:t>-</w:t>
      </w:r>
      <w:r w:rsidRPr="00C10A99">
        <w:t xml:space="preserve">risk </w:t>
      </w:r>
      <w:r>
        <w:t xml:space="preserve">and vulnerable </w:t>
      </w:r>
      <w:r w:rsidRPr="00C10A99">
        <w:t>communities</w:t>
      </w:r>
      <w:r>
        <w:t xml:space="preserve"> </w:t>
      </w:r>
      <w:r w:rsidRPr="00C10A99">
        <w:t xml:space="preserve">to increase awareness, reduce gambling harm and encourage associated positive behaviours. </w:t>
      </w:r>
      <w:r>
        <w:t>These are typically communities with a high social deprivation score, who are at increased risk because of increased access to NCGMs and vulnerable because they lack access to resources that would help improve their resiliency. The Ministry of Health will use evaluation activities, the consumer network and results-based accountability reporting to ensure that all organisations are working in the right way, with the right people.</w:t>
      </w:r>
    </w:p>
    <w:p w:rsidR="00F5734C" w:rsidRDefault="00F5734C" w:rsidP="00F5734C"/>
    <w:p w:rsidR="0088150A" w:rsidRDefault="0088150A" w:rsidP="00F5734C">
      <w:r w:rsidRPr="00C10A99">
        <w:t>The Ministry expects the services it funds to have a robust health equity, cultural competency and health literacy focus</w:t>
      </w:r>
      <w:r>
        <w:t xml:space="preserve">, as well as input from consumer networks once established. It also expects service providers to </w:t>
      </w:r>
      <w:r w:rsidRPr="00C10A99">
        <w:t>build relationships with other relevant organisations</w:t>
      </w:r>
      <w:r>
        <w:t xml:space="preserve"> and communities in the areas in which they operate</w:t>
      </w:r>
      <w:r w:rsidRPr="00C10A99">
        <w:t>. This is one way of sharing relevant information and increasing the overall awareness of gambling harm and indicators of potentially harmful gambling.</w:t>
      </w:r>
    </w:p>
    <w:p w:rsidR="0088150A" w:rsidRDefault="0088150A" w:rsidP="00F5734C"/>
    <w:p w:rsidR="00A10EC0" w:rsidRDefault="000B3F43" w:rsidP="00F5734C">
      <w:r>
        <w:t>S</w:t>
      </w:r>
      <w:r w:rsidR="0088150A">
        <w:t xml:space="preserve">ervices need to better address the cultural and language differences of their target audiences. The Ministry expects that the proposed </w:t>
      </w:r>
      <w:r w:rsidR="0088150A" w:rsidRPr="00F9226B">
        <w:t>co</w:t>
      </w:r>
      <w:r w:rsidR="0088150A">
        <w:t>-</w:t>
      </w:r>
      <w:r w:rsidR="0088150A" w:rsidRPr="00F9226B">
        <w:t>design approach and use of consumer networks will give consumers</w:t>
      </w:r>
      <w:r w:rsidR="0088150A">
        <w:t xml:space="preserve"> from vulnerable communities </w:t>
      </w:r>
      <w:r w:rsidR="0088150A" w:rsidRPr="00F9226B">
        <w:t>a stronger voice in the</w:t>
      </w:r>
      <w:r w:rsidR="0088150A">
        <w:t xml:space="preserve"> design and evaluation of services.</w:t>
      </w:r>
    </w:p>
    <w:p w:rsidR="0088150A" w:rsidRDefault="0088150A" w:rsidP="00F5734C"/>
    <w:p w:rsidR="0088150A" w:rsidRPr="00B75CBC" w:rsidRDefault="0088150A" w:rsidP="00F5734C">
      <w:pPr>
        <w:pStyle w:val="Table"/>
      </w:pPr>
      <w:bookmarkStart w:id="99" w:name="_Toc514838697"/>
      <w:bookmarkStart w:id="100" w:name="_Toc517091234"/>
      <w:bookmarkStart w:id="101" w:name="_Toc530487432"/>
      <w:bookmarkStart w:id="102" w:name="_Toc4156627"/>
      <w:bookmarkStart w:id="103" w:name="_Toc8398927"/>
      <w:r w:rsidRPr="00C10A99">
        <w:t xml:space="preserve">Table </w:t>
      </w:r>
      <w:r w:rsidRPr="007F7BB3">
        <w:fldChar w:fldCharType="begin"/>
      </w:r>
      <w:r w:rsidRPr="00C10A99">
        <w:instrText xml:space="preserve"> SEQ Table \* ARABIC </w:instrText>
      </w:r>
      <w:r w:rsidRPr="007F7BB3">
        <w:fldChar w:fldCharType="separate"/>
      </w:r>
      <w:r w:rsidR="0002049A">
        <w:rPr>
          <w:noProof/>
        </w:rPr>
        <w:t>9</w:t>
      </w:r>
      <w:r w:rsidRPr="007F7BB3">
        <w:fldChar w:fldCharType="end"/>
      </w:r>
      <w:r w:rsidRPr="00C10A99">
        <w:t>: Objective 9</w:t>
      </w:r>
      <w:r>
        <w:t xml:space="preserve"> p</w:t>
      </w:r>
      <w:r w:rsidRPr="00C10A99">
        <w:t>riorities for action</w:t>
      </w:r>
      <w:bookmarkEnd w:id="99"/>
      <w:bookmarkEnd w:id="100"/>
      <w:bookmarkEnd w:id="101"/>
      <w:bookmarkEnd w:id="102"/>
      <w:bookmarkEnd w:id="103"/>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05"/>
        <w:gridCol w:w="3977"/>
      </w:tblGrid>
      <w:tr w:rsidR="0088150A" w:rsidRPr="00F5734C" w:rsidTr="003608D7">
        <w:trPr>
          <w:cantSplit/>
        </w:trPr>
        <w:tc>
          <w:tcPr>
            <w:tcW w:w="5000" w:type="pct"/>
            <w:gridSpan w:val="2"/>
            <w:tcBorders>
              <w:left w:val="nil"/>
              <w:bottom w:val="nil"/>
              <w:right w:val="nil"/>
            </w:tcBorders>
            <w:shd w:val="clear" w:color="auto" w:fill="000000" w:themeFill="text1"/>
          </w:tcPr>
          <w:p w:rsidR="0088150A" w:rsidRPr="00F5734C" w:rsidRDefault="0088150A" w:rsidP="00F5734C">
            <w:pPr>
              <w:pStyle w:val="TableText"/>
              <w:rPr>
                <w:b/>
              </w:rPr>
            </w:pPr>
            <w:r w:rsidRPr="00F5734C">
              <w:rPr>
                <w:b/>
              </w:rPr>
              <w:t>Objective 9: Services raise awareness about the range and signs of gambling harms that affect individuals, families/whānau and communities</w:t>
            </w:r>
          </w:p>
        </w:tc>
      </w:tr>
      <w:tr w:rsidR="0088150A" w:rsidRPr="00F5734C" w:rsidTr="003608D7">
        <w:trPr>
          <w:cantSplit/>
        </w:trPr>
        <w:tc>
          <w:tcPr>
            <w:tcW w:w="5000" w:type="pct"/>
            <w:gridSpan w:val="2"/>
            <w:tcBorders>
              <w:top w:val="nil"/>
              <w:left w:val="nil"/>
              <w:bottom w:val="nil"/>
              <w:right w:val="nil"/>
            </w:tcBorders>
            <w:shd w:val="clear" w:color="auto" w:fill="D9D9D9" w:themeFill="background1" w:themeFillShade="D9"/>
          </w:tcPr>
          <w:p w:rsidR="0088150A" w:rsidRPr="00F5734C" w:rsidRDefault="0088150A" w:rsidP="00F5734C">
            <w:pPr>
              <w:pStyle w:val="TableText"/>
              <w:jc w:val="center"/>
              <w:rPr>
                <w:b/>
              </w:rPr>
            </w:pPr>
            <w:r w:rsidRPr="00F5734C">
              <w:rPr>
                <w:b/>
              </w:rPr>
              <w:t>Priorities for action</w:t>
            </w:r>
          </w:p>
        </w:tc>
      </w:tr>
      <w:tr w:rsidR="0088150A" w:rsidRPr="00F5734C" w:rsidTr="003608D7">
        <w:trPr>
          <w:cantSplit/>
        </w:trPr>
        <w:tc>
          <w:tcPr>
            <w:tcW w:w="2509"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Short- to medium-term priorities</w:t>
            </w:r>
          </w:p>
        </w:tc>
        <w:tc>
          <w:tcPr>
            <w:tcW w:w="2491"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Long-term priorities</w:t>
            </w:r>
          </w:p>
        </w:tc>
      </w:tr>
      <w:tr w:rsidR="0088150A" w:rsidRPr="00C10A99" w:rsidTr="003608D7">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F5734C">
            <w:pPr>
              <w:pStyle w:val="TableText"/>
            </w:pPr>
            <w:r>
              <w:t>Target p</w:t>
            </w:r>
            <w:r w:rsidRPr="00EB1F02">
              <w:t>romotional activities to reduce gambling harm and increase awareness of the range</w:t>
            </w:r>
            <w:r>
              <w:t xml:space="preserve"> and signs</w:t>
            </w:r>
            <w:r w:rsidR="00A10EC0">
              <w:t xml:space="preserve"> </w:t>
            </w:r>
            <w:r w:rsidRPr="00EB1F02">
              <w:t xml:space="preserve">of gambling harms </w:t>
            </w:r>
            <w:r>
              <w:t>at</w:t>
            </w:r>
            <w:r w:rsidRPr="00EB1F02">
              <w:t xml:space="preserve"> high</w:t>
            </w:r>
            <w:r>
              <w:t>-</w:t>
            </w:r>
            <w:r w:rsidRPr="00EB1F02">
              <w:t>risk communities.</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rsidRPr="00EB1F02">
              <w:t xml:space="preserve">Work to increase access to services </w:t>
            </w:r>
            <w:r>
              <w:t xml:space="preserve">among people experiencing gambling harm </w:t>
            </w:r>
            <w:r w:rsidRPr="00EB1F02">
              <w:t>and their families</w:t>
            </w:r>
            <w:r w:rsidR="009C5BBD">
              <w:t xml:space="preserve"> and </w:t>
            </w:r>
            <w:r w:rsidRPr="00EB1F02">
              <w:t>whānau, including in rural areas.</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88150A" w:rsidRPr="00EB1F02" w:rsidRDefault="0088150A" w:rsidP="00F5734C">
            <w:pPr>
              <w:pStyle w:val="TableText"/>
            </w:pPr>
            <w:r w:rsidRPr="00EB1F02">
              <w:t xml:space="preserve">Develop tools and protocols to support the primary health care sector and other community services to include screening, brief assessment and brief and early intervention for gambling </w:t>
            </w:r>
            <w:r>
              <w:t xml:space="preserve">harm </w:t>
            </w:r>
            <w:r w:rsidRPr="00EB1F02">
              <w:t>as part of general health screening and day-to-day delivery</w:t>
            </w:r>
            <w:r>
              <w:t>.</w:t>
            </w:r>
          </w:p>
        </w:tc>
      </w:tr>
    </w:tbl>
    <w:p w:rsidR="003F217A" w:rsidRDefault="003F217A" w:rsidP="003F217A">
      <w:pPr>
        <w:keepLines/>
      </w:pPr>
    </w:p>
    <w:p w:rsidR="0088150A" w:rsidRPr="00E312E8" w:rsidRDefault="0088150A" w:rsidP="00F5734C">
      <w:pPr>
        <w:pStyle w:val="Heading4"/>
      </w:pPr>
      <w:r w:rsidRPr="00E312E8">
        <w:t xml:space="preserve">Underlying principles: </w:t>
      </w:r>
      <w:r>
        <w:t>p</w:t>
      </w:r>
      <w:r w:rsidRPr="00E312E8">
        <w:t>eople-powered/</w:t>
      </w:r>
      <w:r>
        <w:t>m</w:t>
      </w:r>
      <w:r w:rsidRPr="00E312E8">
        <w:t>ā te iwi hei kawe</w:t>
      </w:r>
    </w:p>
    <w:p w:rsidR="0088150A" w:rsidRPr="00EB1F02" w:rsidRDefault="0088150A" w:rsidP="002B4C78">
      <w:pPr>
        <w:keepLines/>
      </w:pPr>
      <w:r w:rsidRPr="00EB1F02">
        <w:t xml:space="preserve">The health system plays an important role in providing people with the information they need to fully understand issues </w:t>
      </w:r>
      <w:r>
        <w:t>around</w:t>
      </w:r>
      <w:r w:rsidRPr="00EB1F02">
        <w:t xml:space="preserve"> health and wellness, including how to be healthy, access health service</w:t>
      </w:r>
      <w:r>
        <w:t>s</w:t>
      </w:r>
      <w:r w:rsidRPr="00EB1F02">
        <w:t xml:space="preserve"> and manage their own </w:t>
      </w:r>
      <w:r>
        <w:t>health</w:t>
      </w:r>
      <w:r w:rsidRPr="00EB1F02">
        <w:t xml:space="preserve"> (health literacy). To improve health literacy, services need to work in partnership with service users, supporting and encouraging them to be </w:t>
      </w:r>
      <w:r w:rsidR="00A10EC0">
        <w:t>‘</w:t>
      </w:r>
      <w:r w:rsidRPr="00EB1F02">
        <w:t>health smart</w:t>
      </w:r>
      <w:r w:rsidR="00A10EC0">
        <w:t>’</w:t>
      </w:r>
      <w:r>
        <w:t xml:space="preserve"> and to mitigate language and cultural barriers to accessing information</w:t>
      </w:r>
      <w:r w:rsidRPr="00EB1F02">
        <w:t>.</w:t>
      </w:r>
    </w:p>
    <w:p w:rsidR="0088150A" w:rsidRDefault="0088150A" w:rsidP="00F5734C"/>
    <w:p w:rsidR="00A10EC0" w:rsidRDefault="0088150A" w:rsidP="00F5734C">
      <w:r w:rsidRPr="00EB1F02">
        <w:t>In this partnership between providers and users, different groups of people will need different forms of support, depending on factors such as</w:t>
      </w:r>
      <w:r w:rsidR="005E3E72">
        <w:t>:</w:t>
      </w:r>
      <w:r w:rsidRPr="00EB1F02">
        <w:t xml:space="preserve"> age</w:t>
      </w:r>
      <w:r>
        <w:t>;</w:t>
      </w:r>
      <w:r w:rsidRPr="00EB1F02">
        <w:t xml:space="preserve"> ethnicity</w:t>
      </w:r>
      <w:r>
        <w:t>;</w:t>
      </w:r>
      <w:r w:rsidRPr="00EB1F02">
        <w:t xml:space="preserve"> </w:t>
      </w:r>
      <w:r>
        <w:t xml:space="preserve">different worldviews, </w:t>
      </w:r>
      <w:r w:rsidRPr="00EB1F02">
        <w:t>expectations</w:t>
      </w:r>
      <w:r>
        <w:t xml:space="preserve"> and </w:t>
      </w:r>
      <w:r w:rsidRPr="00EB1F02">
        <w:t>religious</w:t>
      </w:r>
      <w:r>
        <w:t xml:space="preserve"> beliefs;</w:t>
      </w:r>
      <w:r w:rsidRPr="00EB1F02">
        <w:t xml:space="preserve"> location</w:t>
      </w:r>
      <w:r>
        <w:t>;</w:t>
      </w:r>
      <w:r w:rsidRPr="00EB1F02">
        <w:t xml:space="preserve"> and existing conditions or disabilit</w:t>
      </w:r>
      <w:r>
        <w:t>ies</w:t>
      </w:r>
      <w:r w:rsidRPr="00EB1F02">
        <w:t>.</w:t>
      </w:r>
    </w:p>
    <w:p w:rsidR="0088150A" w:rsidRDefault="0088150A" w:rsidP="00F5734C"/>
    <w:p w:rsidR="0088150A" w:rsidRDefault="0088150A" w:rsidP="00F5734C">
      <w:r>
        <w:t>Gambling h</w:t>
      </w:r>
      <w:r w:rsidRPr="00EB1F02">
        <w:t xml:space="preserve">arm can be associated with mental illness, other addictions and substance abuse, family violence and a range of other social issues. Enhancing awareness of </w:t>
      </w:r>
      <w:r>
        <w:t xml:space="preserve">the signs of harmful </w:t>
      </w:r>
      <w:r w:rsidRPr="00EB1F02">
        <w:t>gambling</w:t>
      </w:r>
      <w:r>
        <w:t>, and opportunities for screening,</w:t>
      </w:r>
      <w:r w:rsidRPr="00EB1F02">
        <w:t xml:space="preserve"> among services that address these other health and social issues </w:t>
      </w:r>
      <w:r>
        <w:t xml:space="preserve">will </w:t>
      </w:r>
      <w:r w:rsidRPr="00EB1F02">
        <w:t>help enhance the accessibility of services to prevent and minimise gambling harm.</w:t>
      </w:r>
    </w:p>
    <w:p w:rsidR="0088150A" w:rsidRDefault="0088150A" w:rsidP="00F5734C">
      <w:pPr>
        <w:pStyle w:val="Heading3"/>
        <w:numPr>
          <w:ilvl w:val="0"/>
          <w:numId w:val="0"/>
        </w:numPr>
      </w:pPr>
      <w:r w:rsidRPr="00E312E8">
        <w:t>Objective 10:</w:t>
      </w:r>
      <w:r>
        <w:t xml:space="preserve"> People access effective treatment and support services at the right time and place</w:t>
      </w:r>
    </w:p>
    <w:p w:rsidR="0088150A" w:rsidRPr="00C10A99" w:rsidRDefault="0088150A" w:rsidP="00F5734C">
      <w:r w:rsidRPr="00EB1F02">
        <w:t>P</w:t>
      </w:r>
      <w:r w:rsidRPr="00C10A99">
        <w:t>rovision of high-quality, effective and accessible services to prevent and minimise gambling harm requires staff who are appropriately qualified and services that are culturally relevant to the communities they serve. Access to intervention services should be available in all areas where there is access to gambling venues.</w:t>
      </w:r>
    </w:p>
    <w:p w:rsidR="0088150A" w:rsidRDefault="0088150A" w:rsidP="00F5734C"/>
    <w:p w:rsidR="00A10EC0" w:rsidRDefault="0088150A" w:rsidP="00F5734C">
      <w:r w:rsidRPr="00C10A99">
        <w:t>Continuing to provide dedicated Māori, Pacific and Asian services is crucial</w:t>
      </w:r>
      <w:r>
        <w:t xml:space="preserve"> to help reduce gambling-harm-related inequity and inequality</w:t>
      </w:r>
      <w:r w:rsidRPr="00C10A99">
        <w:t xml:space="preserve">. The Ministry will </w:t>
      </w:r>
      <w:r>
        <w:t xml:space="preserve">increase the </w:t>
      </w:r>
      <w:r w:rsidRPr="00C10A99">
        <w:t>emphasis on</w:t>
      </w:r>
      <w:r>
        <w:t xml:space="preserve"> including </w:t>
      </w:r>
      <w:r w:rsidRPr="00C10A99">
        <w:t>consumer perspectives in service design and delivery (informed by research and evaluation).</w:t>
      </w:r>
      <w:r>
        <w:t xml:space="preserve"> It will also explore culture-specific delivery models (where cost-effective) with consumer networks and service providers.</w:t>
      </w:r>
    </w:p>
    <w:p w:rsidR="00A10EC0" w:rsidRDefault="0088150A" w:rsidP="00F5734C">
      <w:r w:rsidRPr="00C10A99">
        <w:lastRenderedPageBreak/>
        <w:t>While it is not financially feasible to provide face-to-face services in every location where gambling occurs</w:t>
      </w:r>
      <w:r>
        <w:t>,</w:t>
      </w:r>
      <w:r w:rsidRPr="00C10A99">
        <w:t xml:space="preserve"> </w:t>
      </w:r>
      <w:r>
        <w:t xml:space="preserve">the Ministry will explore ways to provide more limited support, such as through online and telephone support and satellite clinics. </w:t>
      </w:r>
      <w:r w:rsidRPr="00C10A99">
        <w:t xml:space="preserve">New Zealand </w:t>
      </w:r>
      <w:r>
        <w:t xml:space="preserve">has </w:t>
      </w:r>
      <w:r w:rsidRPr="00C10A99">
        <w:t xml:space="preserve">a large rural population </w:t>
      </w:r>
      <w:r>
        <w:t>that</w:t>
      </w:r>
      <w:r w:rsidRPr="00C10A99">
        <w:t xml:space="preserve"> does not always receive the level of service it require</w:t>
      </w:r>
      <w:r>
        <w:t>s</w:t>
      </w:r>
      <w:r w:rsidRPr="00C10A99">
        <w:t xml:space="preserve">. </w:t>
      </w:r>
      <w:r>
        <w:t>Also,</w:t>
      </w:r>
      <w:r w:rsidRPr="00C10A99">
        <w:t xml:space="preserve"> many rural areas have a comparatively high Māori population. To address </w:t>
      </w:r>
      <w:r>
        <w:t>discrepancies</w:t>
      </w:r>
      <w:r w:rsidRPr="00C10A99">
        <w:t>, the Ministry will work with intervention and public health service providers to ensure equity of access, both for rural populations and for Māori</w:t>
      </w:r>
      <w:r>
        <w:t xml:space="preserve"> and other vulnerable groups</w:t>
      </w:r>
      <w:r w:rsidRPr="00C10A99">
        <w:t>.</w:t>
      </w:r>
    </w:p>
    <w:p w:rsidR="00F5734C" w:rsidRDefault="00F5734C" w:rsidP="00F5734C"/>
    <w:p w:rsidR="0088150A" w:rsidRPr="00F5734C" w:rsidRDefault="0088150A" w:rsidP="00603E17">
      <w:pPr>
        <w:keepNext/>
        <w:keepLines/>
        <w:ind w:right="-142"/>
        <w:rPr>
          <w:spacing w:val="-2"/>
        </w:rPr>
      </w:pPr>
      <w:r w:rsidRPr="00F5734C">
        <w:rPr>
          <w:spacing w:val="-2"/>
        </w:rPr>
        <w:t>The Ministry will look to enhance the accessibility and availability of telephone-based services, such as the toll-free helpline offering referrals to face-to-face services and other intervention services, for those who cannot access face-to-face services or prefer a helpline service. The Ministry will also explore technology-based options and work to increase the range of self-help online tools available, to further support hard-to-reach populations.</w:t>
      </w:r>
    </w:p>
    <w:p w:rsidR="00F5734C" w:rsidRPr="00C10A99" w:rsidRDefault="00F5734C" w:rsidP="00603E17">
      <w:pPr>
        <w:keepNext/>
      </w:pPr>
    </w:p>
    <w:p w:rsidR="00A10EC0" w:rsidRDefault="0088150A" w:rsidP="00F5734C">
      <w:r w:rsidRPr="00C10A99">
        <w:t>The Ministry is committed to enhancement of services to prevent and minimise gambling harm and alignment with other services, strategies, obligations and best</w:t>
      </w:r>
      <w:r>
        <w:t>-</w:t>
      </w:r>
      <w:r w:rsidRPr="00C10A99">
        <w:t>practice guidelines in the broader health sector.</w:t>
      </w:r>
    </w:p>
    <w:p w:rsidR="0088150A" w:rsidRDefault="0088150A" w:rsidP="00F5734C"/>
    <w:p w:rsidR="0088150A" w:rsidRPr="00B75CBC" w:rsidRDefault="0088150A" w:rsidP="00F5734C">
      <w:pPr>
        <w:pStyle w:val="Table"/>
      </w:pPr>
      <w:bookmarkStart w:id="104" w:name="_Toc514838698"/>
      <w:bookmarkStart w:id="105" w:name="_Toc517091235"/>
      <w:bookmarkStart w:id="106" w:name="_Toc530487433"/>
      <w:bookmarkStart w:id="107" w:name="_Toc4156628"/>
      <w:bookmarkStart w:id="108" w:name="_Toc8398928"/>
      <w:r w:rsidRPr="00C10A99">
        <w:t xml:space="preserve">Table </w:t>
      </w:r>
      <w:r w:rsidRPr="007F7BB3">
        <w:fldChar w:fldCharType="begin"/>
      </w:r>
      <w:r w:rsidRPr="00C10A99">
        <w:instrText xml:space="preserve"> SEQ Table \* ARABIC </w:instrText>
      </w:r>
      <w:r w:rsidRPr="007F7BB3">
        <w:fldChar w:fldCharType="separate"/>
      </w:r>
      <w:r w:rsidR="0002049A">
        <w:rPr>
          <w:noProof/>
        </w:rPr>
        <w:t>10</w:t>
      </w:r>
      <w:r w:rsidRPr="007F7BB3">
        <w:fldChar w:fldCharType="end"/>
      </w:r>
      <w:r w:rsidRPr="00C10A99">
        <w:t>: Objective 10</w:t>
      </w:r>
      <w:r>
        <w:t xml:space="preserve"> p</w:t>
      </w:r>
      <w:r w:rsidRPr="00C10A99">
        <w:t>riorities for action</w:t>
      </w:r>
      <w:bookmarkEnd w:id="104"/>
      <w:bookmarkEnd w:id="105"/>
      <w:bookmarkEnd w:id="106"/>
      <w:bookmarkEnd w:id="107"/>
      <w:bookmarkEnd w:id="108"/>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05"/>
        <w:gridCol w:w="3977"/>
      </w:tblGrid>
      <w:tr w:rsidR="0088150A" w:rsidRPr="00F5734C" w:rsidTr="003608D7">
        <w:trPr>
          <w:cantSplit/>
        </w:trPr>
        <w:tc>
          <w:tcPr>
            <w:tcW w:w="5000" w:type="pct"/>
            <w:gridSpan w:val="2"/>
            <w:tcBorders>
              <w:left w:val="nil"/>
              <w:bottom w:val="nil"/>
              <w:right w:val="nil"/>
            </w:tcBorders>
            <w:shd w:val="clear" w:color="auto" w:fill="000000" w:themeFill="text1"/>
          </w:tcPr>
          <w:p w:rsidR="0088150A" w:rsidRPr="00F5734C" w:rsidRDefault="0088150A" w:rsidP="00F5734C">
            <w:pPr>
              <w:pStyle w:val="TableText"/>
              <w:rPr>
                <w:b/>
              </w:rPr>
            </w:pPr>
            <w:r w:rsidRPr="00F5734C">
              <w:rPr>
                <w:b/>
              </w:rPr>
              <w:t>Objective 10: People access effective treatment and support services at the right time and place</w:t>
            </w:r>
          </w:p>
        </w:tc>
      </w:tr>
      <w:tr w:rsidR="0088150A" w:rsidRPr="00F5734C" w:rsidTr="003608D7">
        <w:trPr>
          <w:cantSplit/>
        </w:trPr>
        <w:tc>
          <w:tcPr>
            <w:tcW w:w="5000" w:type="pct"/>
            <w:gridSpan w:val="2"/>
            <w:tcBorders>
              <w:top w:val="nil"/>
              <w:left w:val="nil"/>
              <w:bottom w:val="nil"/>
              <w:right w:val="nil"/>
            </w:tcBorders>
            <w:shd w:val="clear" w:color="auto" w:fill="D9D9D9" w:themeFill="background1" w:themeFillShade="D9"/>
          </w:tcPr>
          <w:p w:rsidR="0088150A" w:rsidRPr="00F5734C" w:rsidRDefault="0088150A" w:rsidP="00F5734C">
            <w:pPr>
              <w:pStyle w:val="TableText"/>
              <w:jc w:val="center"/>
              <w:rPr>
                <w:b/>
              </w:rPr>
            </w:pPr>
            <w:r w:rsidRPr="00F5734C">
              <w:rPr>
                <w:b/>
              </w:rPr>
              <w:t>Priorities for action</w:t>
            </w:r>
          </w:p>
        </w:tc>
      </w:tr>
      <w:tr w:rsidR="0088150A" w:rsidRPr="00F5734C" w:rsidTr="003608D7">
        <w:trPr>
          <w:cantSplit/>
        </w:trPr>
        <w:tc>
          <w:tcPr>
            <w:tcW w:w="2509"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Short- to medium-term priorities</w:t>
            </w:r>
          </w:p>
        </w:tc>
        <w:tc>
          <w:tcPr>
            <w:tcW w:w="2491"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Long-term priorities</w:t>
            </w:r>
          </w:p>
        </w:tc>
      </w:tr>
      <w:tr w:rsidR="0088150A" w:rsidRPr="00C10A99" w:rsidTr="00F5734C">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F5734C">
            <w:pPr>
              <w:pStyle w:val="TableText"/>
            </w:pPr>
            <w:r w:rsidRPr="00EB1F02">
              <w:t>Ensure that problem gamblers and their family</w:t>
            </w:r>
            <w:r w:rsidR="00281081">
              <w:t xml:space="preserve"> and </w:t>
            </w:r>
            <w:r w:rsidRPr="00EB1F02">
              <w:t xml:space="preserve">whānau have access to a range of client-centred culturally </w:t>
            </w:r>
            <w:r>
              <w:t xml:space="preserve">appropriate and </w:t>
            </w:r>
            <w:r w:rsidRPr="00EB1F02">
              <w:t xml:space="preserve">responsive services, including by </w:t>
            </w:r>
            <w:r>
              <w:t xml:space="preserve">introducing </w:t>
            </w:r>
            <w:r w:rsidRPr="00EB1F02">
              <w:t>peer support.</w:t>
            </w:r>
          </w:p>
        </w:tc>
      </w:tr>
      <w:tr w:rsidR="0088150A" w:rsidRPr="00C10A99" w:rsidTr="00F5734C">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t>B</w:t>
            </w:r>
            <w:r w:rsidRPr="00C10A99">
              <w:t>roaden the range of organisations and community groups screening for gambling harm</w:t>
            </w:r>
            <w:r>
              <w:t>, by supporting</w:t>
            </w:r>
            <w:r w:rsidR="00A10EC0">
              <w:t xml:space="preserve"> </w:t>
            </w:r>
            <w:r w:rsidRPr="00EB1F02">
              <w:t>intervention providers to use standardised gambling screens</w:t>
            </w:r>
            <w:r w:rsidR="00F5734C">
              <w:t>.</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t>C</w:t>
            </w:r>
            <w:r w:rsidRPr="00EB1F02">
              <w:t>ontinue to identify and validate best-practice interventions and alignments that address the range of gambling harms that affect individuals, families</w:t>
            </w:r>
            <w:r w:rsidR="009C5BBD">
              <w:t xml:space="preserve">, </w:t>
            </w:r>
            <w:r w:rsidRPr="00EB1F02">
              <w:t>whānau and communities</w:t>
            </w:r>
            <w:r>
              <w:t>.</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rsidRPr="00EB1F02">
              <w:t>Increase consumer input into the design and evaluation of services.</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88150A" w:rsidRPr="00EB1F02" w:rsidRDefault="0088150A" w:rsidP="00F5734C">
            <w:pPr>
              <w:pStyle w:val="TableText"/>
            </w:pPr>
            <w:r>
              <w:t>D</w:t>
            </w:r>
            <w:r w:rsidRPr="00EB1F02">
              <w:t>evelop and enhance accessible and culturally responsive online tools, including self-help tools, to help prevent and minimise gambling harm</w:t>
            </w:r>
            <w:r>
              <w:t>, for example to ensure that language is not a barrier for Asian and Pacific people, including new migrants and international students</w:t>
            </w:r>
            <w:r w:rsidR="00F5734C">
              <w:t>.</w:t>
            </w:r>
          </w:p>
        </w:tc>
      </w:tr>
    </w:tbl>
    <w:p w:rsidR="0088150A" w:rsidRPr="00E312E8" w:rsidRDefault="0088150A" w:rsidP="00F5734C">
      <w:pPr>
        <w:pStyle w:val="Heading4"/>
      </w:pPr>
      <w:r w:rsidRPr="00E312E8">
        <w:t xml:space="preserve">Underlying principles: </w:t>
      </w:r>
      <w:r>
        <w:t>value and high performance/te whāinga hua me te tika o ngā mahi</w:t>
      </w:r>
    </w:p>
    <w:p w:rsidR="0088150A" w:rsidRPr="002B4C78" w:rsidRDefault="0088150A" w:rsidP="00F5734C">
      <w:pPr>
        <w:rPr>
          <w:spacing w:val="-2"/>
        </w:rPr>
      </w:pPr>
      <w:r w:rsidRPr="002B4C78">
        <w:rPr>
          <w:spacing w:val="-2"/>
        </w:rPr>
        <w:t>Making services more accessible and culturally appropriate will improve health service use by at-risk groups and those experiencing gambling harm. Research suggests that improving the health service experience for Māori also tends to improve service experience for other population groups</w:t>
      </w:r>
      <w:r w:rsidRPr="002B4C78">
        <w:rPr>
          <w:spacing w:val="-2"/>
        </w:rPr>
        <w:fldChar w:fldCharType="begin"/>
      </w:r>
      <w:r w:rsidRPr="002B4C78">
        <w:rPr>
          <w:spacing w:val="-2"/>
        </w:rPr>
        <w:instrText xml:space="preserve"> ADDIN EN.CITE &lt;EndNote&gt;&lt;Cite&gt;&lt;Author&gt;Williams&lt;/Author&gt;&lt;Year&gt;2012&lt;/Year&gt;&lt;RecNum&gt;97&lt;/RecNum&gt;&lt;DisplayText&gt;(Williams and Cram 2012)&lt;/DisplayText&gt;&lt;record&gt;&lt;rec-number&gt;97&lt;/rec-number&gt;&lt;foreign-keys&gt;&lt;key app="EN" db-id="220aw2sr9pxzepet5wvvpvtitppepwfzds2s"&gt;97&lt;/key&gt;&lt;/foreign-keys&gt;&lt;ref-type name="Report"&gt;27&lt;/ref-type&gt;&lt;contributors&gt;&lt;authors&gt;&lt;author&gt;Williams, L.&lt;/author&gt;&lt;author&gt;Cram, F. &lt;/author&gt;&lt;/authors&gt;&lt;/contributors&gt;&lt;titles&gt;&lt;title&gt;&lt;style face="normal" font="default" size="100%"&gt;What Works for M&lt;/style&gt;&lt;style face="normal" font="default" charset="186" size="100%"&gt;āori: Synthesis of Selected Literature: Prepared for the Department of Corrections. &lt;/style&gt;&lt;/title&gt;&lt;/titles&gt;&lt;dates&gt;&lt;year&gt;2012&lt;/year&gt;&lt;/dates&gt;&lt;pub-location&gt;&lt;style face="normal" font="default" charset="186" size="100%"&gt;Wellingtion, New Zealand.&lt;/style&gt;&lt;/pub-location&gt;&lt;publisher&gt;Dept of Corrections&lt;/publisher&gt;&lt;urls&gt;&lt;/urls&gt;&lt;/record&gt;&lt;/Cite&gt;&lt;/EndNote&gt;</w:instrText>
      </w:r>
      <w:r w:rsidRPr="002B4C78">
        <w:rPr>
          <w:spacing w:val="-2"/>
        </w:rPr>
        <w:fldChar w:fldCharType="end"/>
      </w:r>
      <w:r w:rsidRPr="002B4C78">
        <w:rPr>
          <w:spacing w:val="-2"/>
        </w:rPr>
        <w:t>.</w:t>
      </w:r>
      <w:r w:rsidRPr="002B4C78">
        <w:rPr>
          <w:spacing w:val="-2"/>
        </w:rPr>
        <w:fldChar w:fldCharType="begin" w:fldLock="1"/>
      </w:r>
      <w:r w:rsidRPr="002B4C78">
        <w:rPr>
          <w:spacing w:val="-2"/>
        </w:rPr>
        <w:instrText>ADDIN CSL_CITATION { "citationItems" : [ { "id" : "ITEM-1", "itemData" : { "author" : [ { "dropping-particle" : "", "family" : "Williams", "given" : "L.", "non-dropping-particle" : "", "parse-names" : false, "suffix" : "" }, { "dropping-particle" : "", "family" : "Cram", "given" : "F.", "non-dropping-particle" : "", "parse-names" : false, "suffix" : "" } ], "id" : "ITEM-1", "issued" : { "date-parts" : [ [ "2012" ] ] }, "publisher-place" : "Wellingtion, New Zealand", "title" : "What Works for M\u0101ori: Synthesis of Selected Literature: Prepared for the Department of Corrections", "type" : "report" }, "uris" : [ "http://www.mendeley.com/documents/?uuid=d05d9388-c59e-48e1-9ea6-ce2d9826b008" ] } ], "mendeley" : { "formattedCitation" : "(Williams &amp; Cram, 2012)", "plainTextFormattedCitation" : "(Williams &amp; Cram, 2012)", "previouslyFormattedCitation" : "(Williams &amp; Cram, 2012)" }, "properties" : { "noteIndex" : 0 }, "schema" : "https://github.com/citation-style-language/schema/raw/master/csl-citation.json" }</w:instrText>
      </w:r>
      <w:r w:rsidRPr="002B4C78">
        <w:rPr>
          <w:spacing w:val="-2"/>
        </w:rPr>
        <w:fldChar w:fldCharType="end"/>
      </w:r>
    </w:p>
    <w:p w:rsidR="0088150A" w:rsidRDefault="0088150A" w:rsidP="00F5734C"/>
    <w:p w:rsidR="0088150A" w:rsidRDefault="0088150A" w:rsidP="00F5734C">
      <w:r w:rsidRPr="00EB1F02">
        <w:t>A greater community focus</w:t>
      </w:r>
      <w:r>
        <w:t>,</w:t>
      </w:r>
      <w:r w:rsidRPr="00EB1F02">
        <w:t xml:space="preserve"> delivering service interventions closer to groups at risk, is likely to improve </w:t>
      </w:r>
      <w:r>
        <w:t>service use. T</w:t>
      </w:r>
      <w:r w:rsidRPr="00EB1F02">
        <w:t xml:space="preserve">ypically those who find health services hard to access describe difficulties </w:t>
      </w:r>
      <w:r>
        <w:t>including</w:t>
      </w:r>
      <w:r w:rsidRPr="00EB1F02">
        <w:t xml:space="preserve"> time and transport issues, unresponsive</w:t>
      </w:r>
      <w:r>
        <w:t>ness,</w:t>
      </w:r>
      <w:r w:rsidRPr="00EB1F02">
        <w:t xml:space="preserve"> and </w:t>
      </w:r>
      <w:r>
        <w:t>discord with</w:t>
      </w:r>
      <w:r w:rsidRPr="00EB1F02">
        <w:t xml:space="preserve"> their worldviews where </w:t>
      </w:r>
      <w:r>
        <w:t>such views</w:t>
      </w:r>
      <w:r w:rsidRPr="00EB1F02">
        <w:t xml:space="preserve"> are different from the </w:t>
      </w:r>
      <w:r w:rsidR="00A10EC0">
        <w:t>‘</w:t>
      </w:r>
      <w:r w:rsidRPr="00EB1F02">
        <w:t>mainstream</w:t>
      </w:r>
      <w:r w:rsidR="00A10EC0">
        <w:t>’</w:t>
      </w:r>
      <w:r w:rsidRPr="00EB1F02">
        <w:t>.</w:t>
      </w:r>
    </w:p>
    <w:p w:rsidR="0088150A" w:rsidRPr="00C10A99" w:rsidRDefault="0088150A" w:rsidP="00F5734C"/>
    <w:p w:rsidR="0088150A" w:rsidRPr="00E312E8" w:rsidRDefault="0088150A" w:rsidP="00F5734C">
      <w:pPr>
        <w:pStyle w:val="Heading3"/>
        <w:numPr>
          <w:ilvl w:val="0"/>
          <w:numId w:val="0"/>
        </w:numPr>
      </w:pPr>
      <w:r w:rsidRPr="00E312E8">
        <w:lastRenderedPageBreak/>
        <w:t>Objective 11:</w:t>
      </w:r>
      <w:r>
        <w:t xml:space="preserve"> </w:t>
      </w:r>
      <w:r w:rsidRPr="00E312E8">
        <w:t>A programme of research and evaluation establishes an evidence base that underpins all activities</w:t>
      </w:r>
    </w:p>
    <w:p w:rsidR="0088150A" w:rsidRPr="00F5734C" w:rsidRDefault="0088150A" w:rsidP="00F5734C">
      <w:pPr>
        <w:rPr>
          <w:spacing w:val="-2"/>
        </w:rPr>
      </w:pPr>
      <w:r w:rsidRPr="00F5734C">
        <w:rPr>
          <w:spacing w:val="-2"/>
        </w:rPr>
        <w:t>The Ministry</w:t>
      </w:r>
      <w:r w:rsidR="00A10EC0" w:rsidRPr="00F5734C">
        <w:rPr>
          <w:spacing w:val="-2"/>
        </w:rPr>
        <w:t>’</w:t>
      </w:r>
      <w:r w:rsidRPr="00F5734C">
        <w:rPr>
          <w:spacing w:val="-2"/>
        </w:rPr>
        <w:t xml:space="preserve">s research programme addresses the requirements of the Act for </w:t>
      </w:r>
      <w:r w:rsidR="00A10EC0" w:rsidRPr="00F5734C">
        <w:rPr>
          <w:spacing w:val="-2"/>
        </w:rPr>
        <w:t>‘</w:t>
      </w:r>
      <w:r w:rsidRPr="00F5734C">
        <w:rPr>
          <w:spacing w:val="-2"/>
        </w:rPr>
        <w:t>independent scientific research associated with gambling</w:t>
      </w:r>
      <w:r w:rsidR="00A10EC0" w:rsidRPr="00F5734C">
        <w:rPr>
          <w:spacing w:val="-2"/>
        </w:rPr>
        <w:t>’</w:t>
      </w:r>
      <w:r w:rsidRPr="00F5734C">
        <w:rPr>
          <w:spacing w:val="-2"/>
        </w:rPr>
        <w:t xml:space="preserve"> and for </w:t>
      </w:r>
      <w:r w:rsidR="00A10EC0" w:rsidRPr="00F5734C">
        <w:rPr>
          <w:spacing w:val="-2"/>
        </w:rPr>
        <w:t>‘</w:t>
      </w:r>
      <w:r w:rsidRPr="00F5734C">
        <w:rPr>
          <w:spacing w:val="-2"/>
        </w:rPr>
        <w:t>evaluation</w:t>
      </w:r>
      <w:r w:rsidR="00A10EC0" w:rsidRPr="00F5734C">
        <w:rPr>
          <w:spacing w:val="-2"/>
        </w:rPr>
        <w:t>’</w:t>
      </w:r>
      <w:r w:rsidRPr="00F5734C">
        <w:rPr>
          <w:spacing w:val="-2"/>
        </w:rPr>
        <w:t xml:space="preserve">. It fulfils both short- and long-term strategic research priorities, and </w:t>
      </w:r>
      <w:r w:rsidR="00F5734C" w:rsidRPr="00F5734C">
        <w:rPr>
          <w:spacing w:val="-2"/>
        </w:rPr>
        <w:t>includes longitudinal studies.</w:t>
      </w:r>
    </w:p>
    <w:p w:rsidR="0088150A" w:rsidRDefault="0088150A" w:rsidP="00F5734C"/>
    <w:p w:rsidR="0088150A" w:rsidRDefault="0088150A" w:rsidP="00F5734C">
      <w:r w:rsidRPr="00C10A99">
        <w:t>The Ministry will increase its emphasis on evaluation</w:t>
      </w:r>
      <w:r>
        <w:t xml:space="preserve"> and action research to determine what works best. This will include assessments of service </w:t>
      </w:r>
      <w:r w:rsidRPr="00C10A99">
        <w:t>design, delivery and outcomes (</w:t>
      </w:r>
      <w:r>
        <w:t xml:space="preserve">in terms of </w:t>
      </w:r>
      <w:r w:rsidRPr="00C10A99">
        <w:t>both public health and clinical</w:t>
      </w:r>
      <w:r>
        <w:t xml:space="preserve"> services</w:t>
      </w:r>
      <w:r w:rsidRPr="00C10A99">
        <w:t>). This work will incorporate a consumer experience perspective</w:t>
      </w:r>
      <w:r>
        <w:t xml:space="preserve"> and evaluation of pilots</w:t>
      </w:r>
      <w:r w:rsidRPr="00C10A99">
        <w:t xml:space="preserve">. This </w:t>
      </w:r>
      <w:r>
        <w:t xml:space="preserve">research and evaluation </w:t>
      </w:r>
      <w:r w:rsidRPr="00C10A99">
        <w:t xml:space="preserve">will inform best practice </w:t>
      </w:r>
      <w:r>
        <w:t xml:space="preserve">and future service options for </w:t>
      </w:r>
      <w:r w:rsidRPr="00C10A99">
        <w:t>both intervention and public health services.</w:t>
      </w:r>
    </w:p>
    <w:p w:rsidR="002B4C78" w:rsidRDefault="002B4C78" w:rsidP="002B4C78"/>
    <w:p w:rsidR="0088150A" w:rsidRPr="002E10C7" w:rsidRDefault="0088150A" w:rsidP="002B4C78">
      <w:r w:rsidRPr="002E10C7">
        <w:t>Priority areas include research or evaluation of new pilots and a number of current activities to assess</w:t>
      </w:r>
      <w:r w:rsidR="00F5734C">
        <w:t>:</w:t>
      </w:r>
    </w:p>
    <w:p w:rsidR="00A10EC0" w:rsidRDefault="0088150A" w:rsidP="002B4C78">
      <w:pPr>
        <w:pStyle w:val="Bullet"/>
        <w:spacing w:before="60"/>
      </w:pPr>
      <w:r w:rsidRPr="002E10C7">
        <w:t>their impact on health inequities, to better understand persistent and relapse gambling behaviour</w:t>
      </w:r>
    </w:p>
    <w:p w:rsidR="00A10EC0" w:rsidRDefault="0088150A" w:rsidP="002B4C78">
      <w:pPr>
        <w:pStyle w:val="Bullet"/>
        <w:spacing w:before="60"/>
      </w:pPr>
      <w:r w:rsidRPr="002E10C7">
        <w:t>the use of specific technology solutions to monitor and limit exposure to harmful gambling.</w:t>
      </w:r>
    </w:p>
    <w:p w:rsidR="00A10EC0" w:rsidRDefault="0088150A" w:rsidP="002B4C78">
      <w:pPr>
        <w:spacing w:before="200"/>
      </w:pPr>
      <w:r>
        <w:t>Research will also focus more on current issues, such as the impact of online gambling and gaming convergence, and, potentially, the impact of local authorities</w:t>
      </w:r>
      <w:r w:rsidR="00A10EC0">
        <w:t>’</w:t>
      </w:r>
      <w:r>
        <w:t xml:space="preserve"> policies on NCGM location and gambling harm.</w:t>
      </w:r>
    </w:p>
    <w:p w:rsidR="0088150A" w:rsidRPr="00F5734C" w:rsidRDefault="0088150A" w:rsidP="002B4C78">
      <w:pPr>
        <w:pStyle w:val="Table"/>
        <w:spacing w:before="360"/>
      </w:pPr>
      <w:bookmarkStart w:id="109" w:name="_Toc514838699"/>
      <w:bookmarkStart w:id="110" w:name="_Toc517091236"/>
      <w:bookmarkStart w:id="111" w:name="_Toc530487434"/>
      <w:bookmarkStart w:id="112" w:name="_Toc4156629"/>
      <w:bookmarkStart w:id="113" w:name="_Toc8398929"/>
      <w:r w:rsidRPr="00C10A99">
        <w:t xml:space="preserve">Table </w:t>
      </w:r>
      <w:r w:rsidRPr="007F7BB3">
        <w:fldChar w:fldCharType="begin"/>
      </w:r>
      <w:r w:rsidRPr="00C10A99">
        <w:instrText xml:space="preserve"> SEQ Table \* ARABIC </w:instrText>
      </w:r>
      <w:r w:rsidRPr="007F7BB3">
        <w:fldChar w:fldCharType="separate"/>
      </w:r>
      <w:r w:rsidR="0002049A">
        <w:rPr>
          <w:noProof/>
        </w:rPr>
        <w:t>11</w:t>
      </w:r>
      <w:r w:rsidRPr="007F7BB3">
        <w:fldChar w:fldCharType="end"/>
      </w:r>
      <w:r w:rsidRPr="00C10A99">
        <w:t>: Objective 11</w:t>
      </w:r>
      <w:r>
        <w:t xml:space="preserve"> p</w:t>
      </w:r>
      <w:r w:rsidRPr="00C10A99">
        <w:t>riorities for action</w:t>
      </w:r>
      <w:bookmarkEnd w:id="109"/>
      <w:bookmarkEnd w:id="110"/>
      <w:bookmarkEnd w:id="111"/>
      <w:bookmarkEnd w:id="112"/>
      <w:bookmarkEnd w:id="113"/>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91"/>
        <w:gridCol w:w="14"/>
        <w:gridCol w:w="3977"/>
      </w:tblGrid>
      <w:tr w:rsidR="0088150A" w:rsidRPr="00F5734C" w:rsidTr="003608D7">
        <w:trPr>
          <w:cantSplit/>
        </w:trPr>
        <w:tc>
          <w:tcPr>
            <w:tcW w:w="5000" w:type="pct"/>
            <w:gridSpan w:val="3"/>
            <w:tcBorders>
              <w:left w:val="nil"/>
              <w:bottom w:val="nil"/>
              <w:right w:val="nil"/>
            </w:tcBorders>
            <w:shd w:val="clear" w:color="auto" w:fill="000000" w:themeFill="text1"/>
          </w:tcPr>
          <w:p w:rsidR="0088150A" w:rsidRPr="00F5734C" w:rsidRDefault="0088150A" w:rsidP="00F5734C">
            <w:pPr>
              <w:pStyle w:val="TableText"/>
              <w:rPr>
                <w:b/>
              </w:rPr>
            </w:pPr>
            <w:r w:rsidRPr="00F5734C">
              <w:rPr>
                <w:b/>
              </w:rPr>
              <w:t xml:space="preserve">Objective 11: A programme of research and evaluation establishes an evidence base that underpins all activities </w:t>
            </w:r>
          </w:p>
        </w:tc>
      </w:tr>
      <w:tr w:rsidR="0088150A" w:rsidRPr="00F5734C" w:rsidTr="003608D7">
        <w:trPr>
          <w:cantSplit/>
        </w:trPr>
        <w:tc>
          <w:tcPr>
            <w:tcW w:w="5000" w:type="pct"/>
            <w:gridSpan w:val="3"/>
            <w:tcBorders>
              <w:top w:val="nil"/>
              <w:left w:val="nil"/>
              <w:bottom w:val="nil"/>
              <w:right w:val="nil"/>
            </w:tcBorders>
            <w:shd w:val="clear" w:color="auto" w:fill="D9D9D9" w:themeFill="background1" w:themeFillShade="D9"/>
          </w:tcPr>
          <w:p w:rsidR="0088150A" w:rsidRPr="00F5734C" w:rsidRDefault="0088150A" w:rsidP="00F5734C">
            <w:pPr>
              <w:pStyle w:val="TableText"/>
              <w:jc w:val="center"/>
              <w:rPr>
                <w:b/>
              </w:rPr>
            </w:pPr>
            <w:r w:rsidRPr="00F5734C">
              <w:rPr>
                <w:b/>
              </w:rPr>
              <w:t>Priorities for action</w:t>
            </w:r>
          </w:p>
        </w:tc>
      </w:tr>
      <w:tr w:rsidR="0088150A" w:rsidRPr="00F5734C" w:rsidTr="003608D7">
        <w:trPr>
          <w:cantSplit/>
        </w:trPr>
        <w:tc>
          <w:tcPr>
            <w:tcW w:w="2509" w:type="pct"/>
            <w:gridSpan w:val="2"/>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Short- to medium-term priorities</w:t>
            </w:r>
          </w:p>
        </w:tc>
        <w:tc>
          <w:tcPr>
            <w:tcW w:w="2491"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Long-term priorities</w:t>
            </w:r>
          </w:p>
        </w:tc>
      </w:tr>
      <w:tr w:rsidR="0088150A" w:rsidRPr="00C10A99" w:rsidTr="003608D7">
        <w:trPr>
          <w:cantSplit/>
        </w:trPr>
        <w:tc>
          <w:tcPr>
            <w:tcW w:w="5000" w:type="pct"/>
            <w:gridSpan w:val="3"/>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5C081A">
            <w:pPr>
              <w:pStyle w:val="TableText"/>
            </w:pPr>
            <w:r w:rsidRPr="00EB1F02">
              <w:t>Ensure that research on gambling participation, gambling behaviours, attitudes to gambling, the prevalence and incidence of gambling harm, risk and resiliency factors for gambling harm and comorbidities is available to inform policy and service development</w:t>
            </w:r>
            <w:r>
              <w:t>.</w:t>
            </w:r>
          </w:p>
        </w:tc>
      </w:tr>
      <w:tr w:rsidR="0088150A" w:rsidRPr="00C10A99" w:rsidTr="003608D7">
        <w:trPr>
          <w:cantSplit/>
        </w:trPr>
        <w:tc>
          <w:tcPr>
            <w:tcW w:w="5000"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F5734C" w:rsidRDefault="0088150A" w:rsidP="00F5734C">
            <w:pPr>
              <w:pStyle w:val="TableText"/>
              <w:rPr>
                <w:spacing w:val="-2"/>
              </w:rPr>
            </w:pPr>
            <w:r w:rsidRPr="00F5734C">
              <w:rPr>
                <w:spacing w:val="-2"/>
              </w:rPr>
              <w:t>Ensure that research and evaluation projects funded by the Ministry contribute to strategic outcomes, including supporting opportunities for innovation and enhancing the quality, responsiveness, effectiveness and value for money of services to prevent and minimise gambling harm</w:t>
            </w:r>
            <w:r w:rsidR="00F5734C" w:rsidRPr="00F5734C">
              <w:rPr>
                <w:spacing w:val="-2"/>
              </w:rPr>
              <w:t>.</w:t>
            </w:r>
          </w:p>
        </w:tc>
      </w:tr>
      <w:tr w:rsidR="0088150A" w:rsidRPr="00C10A99" w:rsidTr="003608D7">
        <w:trPr>
          <w:cantSplit/>
        </w:trPr>
        <w:tc>
          <w:tcPr>
            <w:tcW w:w="5000"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t>Ensure that all pilots are evaluated</w:t>
            </w:r>
            <w:r w:rsidR="00F5734C">
              <w:t>.</w:t>
            </w:r>
          </w:p>
        </w:tc>
      </w:tr>
      <w:tr w:rsidR="0088150A" w:rsidRPr="00C10A99" w:rsidTr="003608D7">
        <w:trPr>
          <w:cantSplit/>
        </w:trPr>
        <w:tc>
          <w:tcPr>
            <w:tcW w:w="2500" w:type="pct"/>
            <w:tcBorders>
              <w:top w:val="single" w:sz="4" w:space="0" w:color="A6A6A6" w:themeColor="background1" w:themeShade="A6"/>
              <w:left w:val="nil"/>
              <w:right w:val="nil"/>
            </w:tcBorders>
            <w:shd w:val="clear" w:color="auto" w:fill="auto"/>
          </w:tcPr>
          <w:p w:rsidR="0088150A" w:rsidRPr="00EB1F02" w:rsidRDefault="0088150A" w:rsidP="00F5734C">
            <w:pPr>
              <w:pStyle w:val="TableText"/>
              <w:ind w:right="284"/>
            </w:pPr>
            <w:r w:rsidRPr="00EB1F02">
              <w:t xml:space="preserve">Increase the evidence on why </w:t>
            </w:r>
            <w:r>
              <w:t xml:space="preserve">vulnerable groups, particularly </w:t>
            </w:r>
            <w:r w:rsidRPr="00EB1F02">
              <w:t>Māori</w:t>
            </w:r>
            <w:r>
              <w:t xml:space="preserve"> and</w:t>
            </w:r>
            <w:r w:rsidRPr="00EB1F02">
              <w:t xml:space="preserve"> Pacific </w:t>
            </w:r>
            <w:r>
              <w:t xml:space="preserve">and Asian </w:t>
            </w:r>
            <w:r w:rsidRPr="00EB1F02">
              <w:t>peoples</w:t>
            </w:r>
            <w:r>
              <w:t>,</w:t>
            </w:r>
            <w:r w:rsidRPr="00EB1F02">
              <w:t xml:space="preserve"> continue to experience gambling</w:t>
            </w:r>
            <w:r w:rsidR="00463490">
              <w:t>-</w:t>
            </w:r>
            <w:r w:rsidRPr="00EB1F02">
              <w:t>harm-related inequities</w:t>
            </w:r>
            <w:r>
              <w:t>,</w:t>
            </w:r>
            <w:r w:rsidRPr="00EB1F02">
              <w:t xml:space="preserve"> and </w:t>
            </w:r>
            <w:r>
              <w:t xml:space="preserve">on </w:t>
            </w:r>
            <w:r w:rsidRPr="00EB1F02">
              <w:t>effective ways to reduce those inequities</w:t>
            </w:r>
            <w:r>
              <w:t>.</w:t>
            </w:r>
          </w:p>
        </w:tc>
        <w:tc>
          <w:tcPr>
            <w:tcW w:w="2500" w:type="pct"/>
            <w:gridSpan w:val="2"/>
            <w:tcBorders>
              <w:top w:val="single" w:sz="4" w:space="0" w:color="A6A6A6" w:themeColor="background1" w:themeShade="A6"/>
              <w:left w:val="nil"/>
              <w:right w:val="nil"/>
            </w:tcBorders>
            <w:shd w:val="clear" w:color="auto" w:fill="auto"/>
          </w:tcPr>
          <w:p w:rsidR="00A10EC0" w:rsidRPr="00F5734C" w:rsidRDefault="0088150A" w:rsidP="00F5734C">
            <w:pPr>
              <w:pStyle w:val="TableText"/>
              <w:rPr>
                <w:spacing w:val="-4"/>
              </w:rPr>
            </w:pPr>
            <w:r w:rsidRPr="00F5734C">
              <w:rPr>
                <w:spacing w:val="-4"/>
              </w:rPr>
              <w:t>Develop and pilot initiatives specifically focused on</w:t>
            </w:r>
            <w:r w:rsidR="00F5734C" w:rsidRPr="00F5734C">
              <w:rPr>
                <w:spacing w:val="-4"/>
              </w:rPr>
              <w:t>:</w:t>
            </w:r>
          </w:p>
          <w:p w:rsidR="0088150A" w:rsidRDefault="0088150A" w:rsidP="00F5734C">
            <w:pPr>
              <w:pStyle w:val="TableBullet"/>
            </w:pPr>
            <w:r w:rsidRPr="00EB1F02">
              <w:t>reducing gambling</w:t>
            </w:r>
            <w:r w:rsidR="00463490">
              <w:t>-</w:t>
            </w:r>
            <w:r w:rsidRPr="00EB1F02">
              <w:t>harm-related inequities among Māori</w:t>
            </w:r>
            <w:r>
              <w:t xml:space="preserve">, </w:t>
            </w:r>
            <w:r w:rsidRPr="00EB1F02">
              <w:t>Pacific</w:t>
            </w:r>
            <w:r>
              <w:t xml:space="preserve"> peoples, Asian</w:t>
            </w:r>
            <w:r w:rsidRPr="00EB1F02">
              <w:t xml:space="preserve"> peoples and other vulnerable groups</w:t>
            </w:r>
          </w:p>
          <w:p w:rsidR="00A10EC0" w:rsidRDefault="0088150A" w:rsidP="00F5734C">
            <w:pPr>
              <w:pStyle w:val="TableBullet"/>
            </w:pPr>
            <w:r>
              <w:t>addressing persistent and relapse gambling</w:t>
            </w:r>
          </w:p>
          <w:p w:rsidR="0088150A" w:rsidRPr="00EB1F02" w:rsidRDefault="0088150A" w:rsidP="00F5734C">
            <w:pPr>
              <w:pStyle w:val="TableBullet"/>
            </w:pPr>
            <w:r>
              <w:t>improving vulnerable groups</w:t>
            </w:r>
            <w:r w:rsidR="00A10EC0">
              <w:t>’</w:t>
            </w:r>
            <w:r w:rsidR="00F5734C">
              <w:t xml:space="preserve"> access to services.</w:t>
            </w:r>
          </w:p>
        </w:tc>
      </w:tr>
    </w:tbl>
    <w:p w:rsidR="0088150A" w:rsidRPr="00E312E8" w:rsidRDefault="0088150A" w:rsidP="00F5734C"/>
    <w:p w:rsidR="0088150A" w:rsidRPr="00B47FDC" w:rsidRDefault="0088150A" w:rsidP="00F5734C">
      <w:pPr>
        <w:pStyle w:val="Heading4"/>
      </w:pPr>
      <w:r w:rsidRPr="00E312E8">
        <w:lastRenderedPageBreak/>
        <w:t xml:space="preserve">Underlying principles: </w:t>
      </w:r>
      <w:r>
        <w:t>s</w:t>
      </w:r>
      <w:r w:rsidRPr="00EB1F02">
        <w:t>mart system/</w:t>
      </w:r>
      <w:r>
        <w:t>h</w:t>
      </w:r>
      <w:r w:rsidRPr="00EB1F02">
        <w:t>e atamai te whakaraupapa</w:t>
      </w:r>
    </w:p>
    <w:p w:rsidR="0088150A" w:rsidRPr="00C10A99" w:rsidRDefault="0088150A" w:rsidP="00F5734C">
      <w:r w:rsidRPr="00C10A99">
        <w:t xml:space="preserve">Research should reflect the different linguistic and cultural contexts that provide different ways of understanding gambling and its effects. Results </w:t>
      </w:r>
      <w:r>
        <w:t>should be</w:t>
      </w:r>
      <w:r w:rsidRPr="00C10A99">
        <w:t xml:space="preserve"> communicated in a variety of ways that are appropriate for and understood by the intended audience.</w:t>
      </w:r>
    </w:p>
    <w:p w:rsidR="0088150A" w:rsidRPr="00C10A99" w:rsidRDefault="0088150A" w:rsidP="002B4C78">
      <w:pPr>
        <w:spacing w:before="200"/>
      </w:pPr>
      <w:r>
        <w:t>The Ministry will fund g</w:t>
      </w:r>
      <w:r w:rsidRPr="00C10A99">
        <w:t xml:space="preserve">ambling harm minimisation research </w:t>
      </w:r>
      <w:r>
        <w:t>and evaluation that</w:t>
      </w:r>
      <w:r w:rsidRPr="00C10A99">
        <w:t>:</w:t>
      </w:r>
    </w:p>
    <w:p w:rsidR="00A10EC0" w:rsidRDefault="009C410E" w:rsidP="002B4C78">
      <w:pPr>
        <w:pStyle w:val="Bullet"/>
        <w:spacing w:before="60"/>
      </w:pPr>
      <w:r>
        <w:t>is conducted</w:t>
      </w:r>
      <w:r w:rsidR="0088150A" w:rsidRPr="00C10A99">
        <w:t xml:space="preserve"> with integrity, independence and accountability</w:t>
      </w:r>
    </w:p>
    <w:p w:rsidR="0088150A" w:rsidRPr="00C10A99" w:rsidRDefault="0088150A" w:rsidP="002B4C78">
      <w:pPr>
        <w:pStyle w:val="Bullet"/>
        <w:spacing w:before="60"/>
      </w:pPr>
      <w:r>
        <w:t xml:space="preserve">uses </w:t>
      </w:r>
      <w:r w:rsidRPr="00C10A99">
        <w:t xml:space="preserve">appropriate methods for the research </w:t>
      </w:r>
      <w:r>
        <w:t xml:space="preserve">or evaluation </w:t>
      </w:r>
      <w:r w:rsidRPr="00C10A99">
        <w:t>question and resources available</w:t>
      </w:r>
    </w:p>
    <w:p w:rsidR="0088150A" w:rsidRPr="00C10A99" w:rsidRDefault="0088150A" w:rsidP="002B4C78">
      <w:pPr>
        <w:pStyle w:val="Bullet"/>
        <w:spacing w:before="60"/>
      </w:pPr>
      <w:r>
        <w:t xml:space="preserve">is </w:t>
      </w:r>
      <w:r w:rsidRPr="00C10A99">
        <w:t>delivered in a timely manner to inform policy and operational decision-making and public debate</w:t>
      </w:r>
    </w:p>
    <w:p w:rsidR="0088150A" w:rsidRPr="00C10A99" w:rsidRDefault="0088150A" w:rsidP="002B4C78">
      <w:pPr>
        <w:pStyle w:val="Bullet"/>
        <w:spacing w:before="60"/>
      </w:pPr>
      <w:r>
        <w:t xml:space="preserve">is </w:t>
      </w:r>
      <w:r w:rsidRPr="00C10A99">
        <w:t>commissioned with transparency, follow</w:t>
      </w:r>
      <w:r>
        <w:t>s</w:t>
      </w:r>
      <w:r w:rsidRPr="00C10A99">
        <w:t xml:space="preserve"> best management practice</w:t>
      </w:r>
      <w:r>
        <w:t>s</w:t>
      </w:r>
      <w:r w:rsidRPr="00C10A99">
        <w:t xml:space="preserve"> and compl</w:t>
      </w:r>
      <w:r>
        <w:t>ies</w:t>
      </w:r>
      <w:r w:rsidRPr="00C10A99">
        <w:t xml:space="preserve"> with </w:t>
      </w:r>
      <w:r>
        <w:t xml:space="preserve">the </w:t>
      </w:r>
      <w:r w:rsidRPr="00C10A99">
        <w:t>government policy direction about the ownership and use of research deliverables funded by government</w:t>
      </w:r>
    </w:p>
    <w:p w:rsidR="0088150A" w:rsidRDefault="0088150A" w:rsidP="002B4C78">
      <w:pPr>
        <w:pStyle w:val="Bullet"/>
        <w:spacing w:before="60"/>
      </w:pPr>
      <w:r w:rsidRPr="00C10A99">
        <w:t>represent</w:t>
      </w:r>
      <w:r>
        <w:t>s</w:t>
      </w:r>
      <w:r w:rsidRPr="00C10A99">
        <w:t xml:space="preserve"> value for money</w:t>
      </w:r>
    </w:p>
    <w:p w:rsidR="0088150A" w:rsidRDefault="0088150A" w:rsidP="002B4C78">
      <w:pPr>
        <w:pStyle w:val="Bullet"/>
        <w:spacing w:before="60"/>
      </w:pPr>
      <w:r>
        <w:t>encourages collaborative design and consumer input</w:t>
      </w:r>
      <w:r w:rsidRPr="00C10A99">
        <w:t>.</w:t>
      </w:r>
    </w:p>
    <w:p w:rsidR="0088150A" w:rsidRPr="00E312E8" w:rsidRDefault="0088150A" w:rsidP="00F5734C">
      <w:pPr>
        <w:pStyle w:val="Heading2"/>
      </w:pPr>
      <w:bookmarkStart w:id="114" w:name="_Toc421026470"/>
      <w:bookmarkStart w:id="115" w:name="_Toc517090898"/>
      <w:bookmarkStart w:id="116" w:name="_Toc530487406"/>
      <w:bookmarkStart w:id="117" w:name="_Toc9239599"/>
      <w:r w:rsidRPr="00E312E8">
        <w:t>Align</w:t>
      </w:r>
      <w:r>
        <w:t>ing</w:t>
      </w:r>
      <w:r w:rsidRPr="00E312E8">
        <w:t xml:space="preserve"> the </w:t>
      </w:r>
      <w:r>
        <w:t>s</w:t>
      </w:r>
      <w:r w:rsidRPr="00E312E8">
        <w:t>trategy with He Korowai Oranga</w:t>
      </w:r>
      <w:bookmarkEnd w:id="114"/>
      <w:bookmarkEnd w:id="115"/>
      <w:bookmarkEnd w:id="116"/>
      <w:bookmarkEnd w:id="117"/>
    </w:p>
    <w:p w:rsidR="0088150A" w:rsidRPr="00F5734C" w:rsidRDefault="004354CD" w:rsidP="00F5734C">
      <w:hyperlink r:id="rId40" w:history="1">
        <w:r w:rsidR="0088150A" w:rsidRPr="00F5734C">
          <w:rPr>
            <w:rFonts w:eastAsia="MS Gothic"/>
          </w:rPr>
          <w:t>He Korowai Oranga</w:t>
        </w:r>
      </w:hyperlink>
      <w:r w:rsidR="0088150A" w:rsidRPr="00F5734C">
        <w:rPr>
          <w:rFonts w:eastAsia="MS Gothic"/>
        </w:rPr>
        <w:t xml:space="preserve"> is New Zealand</w:t>
      </w:r>
      <w:r w:rsidR="00A10EC0" w:rsidRPr="00F5734C">
        <w:rPr>
          <w:rFonts w:eastAsia="MS Gothic"/>
        </w:rPr>
        <w:t>’</w:t>
      </w:r>
      <w:r w:rsidR="0088150A" w:rsidRPr="00F5734C">
        <w:rPr>
          <w:rFonts w:eastAsia="MS Gothic"/>
        </w:rPr>
        <w:t xml:space="preserve">s Māori Health Strategy. It is a </w:t>
      </w:r>
      <w:r w:rsidR="00A10EC0" w:rsidRPr="00F5734C">
        <w:rPr>
          <w:rFonts w:eastAsia="MS Gothic"/>
        </w:rPr>
        <w:t>‘</w:t>
      </w:r>
      <w:r w:rsidR="0088150A" w:rsidRPr="00F5734C">
        <w:rPr>
          <w:rFonts w:eastAsia="MS Gothic"/>
        </w:rPr>
        <w:t>living document</w:t>
      </w:r>
      <w:r w:rsidR="00A10EC0" w:rsidRPr="00F5734C">
        <w:rPr>
          <w:rFonts w:eastAsia="MS Gothic"/>
        </w:rPr>
        <w:t>’</w:t>
      </w:r>
      <w:r w:rsidR="0088150A" w:rsidRPr="00F5734C">
        <w:rPr>
          <w:rFonts w:eastAsia="MS Gothic"/>
        </w:rPr>
        <w:t xml:space="preserve"> that was most recently updated in 2014. Figure 5 below summarises the strategy.</w:t>
      </w:r>
    </w:p>
    <w:p w:rsidR="0088150A" w:rsidRDefault="0088150A" w:rsidP="00F5734C"/>
    <w:p w:rsidR="0088150A" w:rsidRPr="00C10A99" w:rsidRDefault="0088150A" w:rsidP="00F5734C">
      <w:r w:rsidRPr="00C10A99">
        <w:t xml:space="preserve">Pae Ora </w:t>
      </w:r>
      <w:r>
        <w:t xml:space="preserve">– </w:t>
      </w:r>
      <w:r w:rsidRPr="00C10A99">
        <w:t>healthy futures is the Government</w:t>
      </w:r>
      <w:r w:rsidR="00A10EC0">
        <w:t>’</w:t>
      </w:r>
      <w:r w:rsidRPr="00C10A99">
        <w:t xml:space="preserve">s vision and overarching aim for Māori health. Pae Ora is a holistic concept that includes three interconnected and mutually reinforcing elements – </w:t>
      </w:r>
      <w:r>
        <w:t>m</w:t>
      </w:r>
      <w:r w:rsidRPr="00C10A99">
        <w:t xml:space="preserve">auri </w:t>
      </w:r>
      <w:r>
        <w:t>o</w:t>
      </w:r>
      <w:r w:rsidRPr="00C10A99">
        <w:t xml:space="preserve">ra (healthy individuals), </w:t>
      </w:r>
      <w:r>
        <w:t>w</w:t>
      </w:r>
      <w:r w:rsidRPr="00C10A99">
        <w:t xml:space="preserve">hānau </w:t>
      </w:r>
      <w:r>
        <w:t>o</w:t>
      </w:r>
      <w:r w:rsidRPr="00C10A99">
        <w:t xml:space="preserve">ra (healthy families) and </w:t>
      </w:r>
      <w:r>
        <w:t>w</w:t>
      </w:r>
      <w:r w:rsidRPr="00C10A99">
        <w:t xml:space="preserve">ai </w:t>
      </w:r>
      <w:r>
        <w:t>o</w:t>
      </w:r>
      <w:r w:rsidRPr="00C10A99">
        <w:t>ra (healthy environments).</w:t>
      </w:r>
    </w:p>
    <w:p w:rsidR="0088150A" w:rsidRDefault="0088150A" w:rsidP="00F5734C"/>
    <w:p w:rsidR="0088150A" w:rsidRPr="00C10A99" w:rsidRDefault="0088150A" w:rsidP="00F5734C">
      <w:r w:rsidRPr="00C10A99">
        <w:t xml:space="preserve">The Ministry has aligned the current </w:t>
      </w:r>
      <w:r>
        <w:t>s</w:t>
      </w:r>
      <w:r w:rsidRPr="00C10A99">
        <w:t xml:space="preserve">trategic </w:t>
      </w:r>
      <w:r>
        <w:t>p</w:t>
      </w:r>
      <w:r w:rsidRPr="00C10A99">
        <w:t xml:space="preserve">lan with </w:t>
      </w:r>
      <w:hyperlink r:id="rId41" w:history="1">
        <w:r w:rsidRPr="00F5734C">
          <w:rPr>
            <w:rFonts w:eastAsia="MS Gothic"/>
          </w:rPr>
          <w:t>He Korowai Oranga</w:t>
        </w:r>
      </w:hyperlink>
      <w:r w:rsidRPr="00C10A99">
        <w:t>, in acknowledgement that the</w:t>
      </w:r>
      <w:r w:rsidRPr="00BF6A40">
        <w:rPr>
          <w:i/>
        </w:rPr>
        <w:t xml:space="preserve"> Strategy to Prevent and Minimise Gambling Harm</w:t>
      </w:r>
      <w:r w:rsidRPr="00C10A99">
        <w:t xml:space="preserve"> contributes to Pae Ora.</w:t>
      </w:r>
    </w:p>
    <w:p w:rsidR="0088150A" w:rsidRPr="00C10A99" w:rsidRDefault="0088150A" w:rsidP="00F5734C"/>
    <w:p w:rsidR="0088150A" w:rsidRPr="00BC3003" w:rsidRDefault="0088150A" w:rsidP="005A26D2">
      <w:pPr>
        <w:pStyle w:val="Figure"/>
      </w:pPr>
      <w:bookmarkStart w:id="118" w:name="_Toc514139885"/>
      <w:bookmarkStart w:id="119" w:name="_Toc516836147"/>
      <w:bookmarkStart w:id="120" w:name="_Toc529428320"/>
      <w:bookmarkStart w:id="121" w:name="_Toc4156647"/>
      <w:bookmarkStart w:id="122" w:name="_Toc7680401"/>
      <w:r>
        <w:lastRenderedPageBreak/>
        <w:t xml:space="preserve">Figure </w:t>
      </w:r>
      <w:r w:rsidR="004F666E">
        <w:rPr>
          <w:noProof/>
        </w:rPr>
        <w:fldChar w:fldCharType="begin"/>
      </w:r>
      <w:r w:rsidR="004F666E">
        <w:rPr>
          <w:noProof/>
        </w:rPr>
        <w:instrText xml:space="preserve"> SEQ Figure \* ARABIC </w:instrText>
      </w:r>
      <w:r w:rsidR="004F666E">
        <w:rPr>
          <w:noProof/>
        </w:rPr>
        <w:fldChar w:fldCharType="separate"/>
      </w:r>
      <w:r w:rsidR="0002049A">
        <w:rPr>
          <w:noProof/>
        </w:rPr>
        <w:t>5</w:t>
      </w:r>
      <w:r w:rsidR="004F666E">
        <w:rPr>
          <w:noProof/>
        </w:rPr>
        <w:fldChar w:fldCharType="end"/>
      </w:r>
      <w:r w:rsidRPr="00227DDB">
        <w:t xml:space="preserve">: </w:t>
      </w:r>
      <w:r>
        <w:t xml:space="preserve">Summary of </w:t>
      </w:r>
      <w:r w:rsidRPr="00227DDB">
        <w:t>He Korowai Oranga</w:t>
      </w:r>
      <w:bookmarkEnd w:id="118"/>
      <w:bookmarkEnd w:id="119"/>
      <w:bookmarkEnd w:id="120"/>
      <w:bookmarkEnd w:id="121"/>
      <w:bookmarkEnd w:id="122"/>
    </w:p>
    <w:p w:rsidR="0088150A" w:rsidRPr="004A0A4D" w:rsidRDefault="0088150A" w:rsidP="0088150A">
      <w:r w:rsidRPr="004A1981">
        <w:rPr>
          <w:noProof/>
          <w:lang w:eastAsia="en-NZ"/>
        </w:rPr>
        <w:drawing>
          <wp:inline distT="0" distB="0" distL="0" distR="0" wp14:anchorId="32321128" wp14:editId="45C909DE">
            <wp:extent cx="5552901" cy="4790039"/>
            <wp:effectExtent l="0" t="0" r="0" b="0"/>
            <wp:docPr id="1" name="Picture 237" title="Figure 5: Summary of He Korowai Or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
                      <a:grayscl/>
                      <a:extLst>
                        <a:ext uri="{28A0092B-C50C-407E-A947-70E740481C1C}">
                          <a14:useLocalDpi xmlns:a14="http://schemas.microsoft.com/office/drawing/2010/main" val="0"/>
                        </a:ext>
                      </a:extLst>
                    </a:blip>
                    <a:srcRect t="1752"/>
                    <a:stretch>
                      <a:fillRect/>
                    </a:stretch>
                  </pic:blipFill>
                  <pic:spPr bwMode="auto">
                    <a:xfrm>
                      <a:off x="0" y="0"/>
                      <a:ext cx="5556412" cy="4793067"/>
                    </a:xfrm>
                    <a:prstGeom prst="rect">
                      <a:avLst/>
                    </a:prstGeom>
                    <a:noFill/>
                    <a:ln>
                      <a:noFill/>
                    </a:ln>
                  </pic:spPr>
                </pic:pic>
              </a:graphicData>
            </a:graphic>
          </wp:inline>
        </w:drawing>
      </w:r>
    </w:p>
    <w:p w:rsidR="0088150A" w:rsidRPr="00C10A99" w:rsidRDefault="0088150A" w:rsidP="002D1CC7"/>
    <w:p w:rsidR="0088150A" w:rsidRDefault="0088150A" w:rsidP="002D1CC7">
      <w:pPr>
        <w:pStyle w:val="Table"/>
      </w:pPr>
      <w:bookmarkStart w:id="123" w:name="_Toc514838700"/>
      <w:bookmarkStart w:id="124" w:name="_Toc517091237"/>
      <w:bookmarkStart w:id="125" w:name="_Toc530487435"/>
      <w:bookmarkStart w:id="126" w:name="_Toc4156630"/>
      <w:bookmarkStart w:id="127" w:name="_Toc8398930"/>
      <w:bookmarkStart w:id="128" w:name="_Toc422409750"/>
      <w:r w:rsidRPr="00252C71">
        <w:lastRenderedPageBreak/>
        <w:t xml:space="preserve">Table </w:t>
      </w:r>
      <w:r>
        <w:rPr>
          <w:noProof/>
        </w:rPr>
        <w:fldChar w:fldCharType="begin"/>
      </w:r>
      <w:r>
        <w:rPr>
          <w:noProof/>
        </w:rPr>
        <w:instrText xml:space="preserve"> SEQ Table \* ARABIC </w:instrText>
      </w:r>
      <w:r>
        <w:rPr>
          <w:noProof/>
        </w:rPr>
        <w:fldChar w:fldCharType="separate"/>
      </w:r>
      <w:r w:rsidR="0002049A">
        <w:rPr>
          <w:noProof/>
        </w:rPr>
        <w:t>12</w:t>
      </w:r>
      <w:r>
        <w:rPr>
          <w:noProof/>
        </w:rPr>
        <w:fldChar w:fldCharType="end"/>
      </w:r>
      <w:r w:rsidRPr="00C10A99">
        <w:t>: Align</w:t>
      </w:r>
      <w:r>
        <w:t>ing</w:t>
      </w:r>
      <w:r w:rsidRPr="00C10A99">
        <w:t xml:space="preserve"> the </w:t>
      </w:r>
      <w:r>
        <w:t>s</w:t>
      </w:r>
      <w:r w:rsidRPr="00C10A99">
        <w:t>trategy with He Korowai Oranga</w:t>
      </w:r>
      <w:bookmarkEnd w:id="123"/>
      <w:bookmarkEnd w:id="124"/>
      <w:bookmarkEnd w:id="125"/>
      <w:bookmarkEnd w:id="126"/>
      <w:bookmarkEnd w:id="127"/>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985"/>
        <w:gridCol w:w="6095"/>
      </w:tblGrid>
      <w:tr w:rsidR="00331D74" w:rsidRPr="00331D74" w:rsidTr="00331D74">
        <w:trPr>
          <w:cantSplit/>
          <w:tblHeader/>
        </w:trPr>
        <w:tc>
          <w:tcPr>
            <w:tcW w:w="1985" w:type="dxa"/>
            <w:tcBorders>
              <w:top w:val="nil"/>
              <w:bottom w:val="nil"/>
            </w:tcBorders>
            <w:shd w:val="clear" w:color="auto" w:fill="D9D9D9" w:themeFill="background1" w:themeFillShade="D9"/>
          </w:tcPr>
          <w:p w:rsidR="00331D74" w:rsidRPr="00331D74" w:rsidRDefault="00331D74" w:rsidP="00F072F3">
            <w:pPr>
              <w:pStyle w:val="TableText"/>
              <w:keepNext/>
              <w:rPr>
                <w:b/>
              </w:rPr>
            </w:pPr>
            <w:r w:rsidRPr="00331D74">
              <w:rPr>
                <w:b/>
                <w:lang w:eastAsia="en-US"/>
              </w:rPr>
              <w:t>He Korowai Oranga</w:t>
            </w:r>
          </w:p>
        </w:tc>
        <w:tc>
          <w:tcPr>
            <w:tcW w:w="6095" w:type="dxa"/>
            <w:tcBorders>
              <w:top w:val="nil"/>
              <w:bottom w:val="nil"/>
            </w:tcBorders>
            <w:shd w:val="clear" w:color="auto" w:fill="D9D9D9" w:themeFill="background1" w:themeFillShade="D9"/>
          </w:tcPr>
          <w:p w:rsidR="00331D74" w:rsidRPr="00331D74" w:rsidRDefault="00331D74" w:rsidP="00331D74">
            <w:pPr>
              <w:pStyle w:val="TableText"/>
              <w:keepNext/>
              <w:rPr>
                <w:b/>
              </w:rPr>
            </w:pPr>
            <w:r w:rsidRPr="00331D74">
              <w:rPr>
                <w:b/>
                <w:lang w:eastAsia="en-US"/>
              </w:rPr>
              <w:t>Examples of the strategy’s alignment</w:t>
            </w:r>
          </w:p>
        </w:tc>
      </w:tr>
      <w:tr w:rsidR="00331D74" w:rsidRPr="00331D74" w:rsidTr="00331D74">
        <w:trPr>
          <w:cantSplit/>
        </w:trPr>
        <w:tc>
          <w:tcPr>
            <w:tcW w:w="1985" w:type="dxa"/>
            <w:tcBorders>
              <w:top w:val="nil"/>
              <w:bottom w:val="single" w:sz="4" w:space="0" w:color="A6A6A6" w:themeColor="background1" w:themeShade="A6"/>
            </w:tcBorders>
          </w:tcPr>
          <w:p w:rsidR="00331D74" w:rsidRPr="00331D74" w:rsidRDefault="00331D74" w:rsidP="00331D74">
            <w:pPr>
              <w:pStyle w:val="TableText"/>
              <w:keepNext/>
              <w:rPr>
                <w:b/>
                <w:lang w:eastAsia="en-US"/>
              </w:rPr>
            </w:pPr>
            <w:r w:rsidRPr="00331D74">
              <w:rPr>
                <w:b/>
                <w:lang w:eastAsia="en-US"/>
              </w:rPr>
              <w:t>Overall aim</w:t>
            </w:r>
          </w:p>
        </w:tc>
        <w:tc>
          <w:tcPr>
            <w:tcW w:w="6095" w:type="dxa"/>
            <w:tcBorders>
              <w:top w:val="nil"/>
              <w:bottom w:val="single" w:sz="4" w:space="0" w:color="A6A6A6" w:themeColor="background1" w:themeShade="A6"/>
            </w:tcBorders>
          </w:tcPr>
          <w:p w:rsidR="00331D74" w:rsidRPr="00331D74" w:rsidRDefault="00331D74" w:rsidP="00331D74">
            <w:pPr>
              <w:pStyle w:val="TableText"/>
              <w:keepNext/>
              <w:rPr>
                <w:b/>
                <w:lang w:eastAsia="en-US"/>
              </w:rPr>
            </w:pPr>
          </w:p>
        </w:tc>
      </w:tr>
      <w:tr w:rsidR="00331D74" w:rsidRPr="00DC20BD" w:rsidTr="00331D74">
        <w:trPr>
          <w:cantSplit/>
        </w:trPr>
        <w:tc>
          <w:tcPr>
            <w:tcW w:w="1985" w:type="dxa"/>
          </w:tcPr>
          <w:p w:rsidR="00331D74" w:rsidRPr="00EB1F02" w:rsidRDefault="00331D74" w:rsidP="00331D74">
            <w:pPr>
              <w:pStyle w:val="TableText"/>
              <w:keepNext/>
              <w:rPr>
                <w:lang w:eastAsia="en-US"/>
              </w:rPr>
            </w:pPr>
            <w:r w:rsidRPr="00EB1F02">
              <w:rPr>
                <w:lang w:eastAsia="en-US"/>
              </w:rPr>
              <w:t xml:space="preserve">Pae </w:t>
            </w:r>
            <w:r>
              <w:rPr>
                <w:lang w:eastAsia="en-US"/>
              </w:rPr>
              <w:t>o</w:t>
            </w:r>
            <w:r w:rsidRPr="00EB1F02">
              <w:rPr>
                <w:lang w:eastAsia="en-US"/>
              </w:rPr>
              <w:t>ra</w:t>
            </w:r>
          </w:p>
        </w:tc>
        <w:tc>
          <w:tcPr>
            <w:tcW w:w="6095" w:type="dxa"/>
            <w:vAlign w:val="center"/>
          </w:tcPr>
          <w:p w:rsidR="00331D74" w:rsidRDefault="00331D74" w:rsidP="00331D74">
            <w:pPr>
              <w:pStyle w:val="TableText"/>
              <w:keepNext/>
              <w:rPr>
                <w:rFonts w:eastAsia="Arial Unicode MS"/>
              </w:rPr>
            </w:pPr>
            <w:r w:rsidRPr="00EB1F02">
              <w:rPr>
                <w:rFonts w:eastAsia="Arial Unicode MS"/>
              </w:rPr>
              <w:t>Principles underpinning the strategy – a focus on improving Māori health</w:t>
            </w:r>
          </w:p>
          <w:p w:rsidR="00331D74" w:rsidRPr="00EB1F02" w:rsidRDefault="00331D74" w:rsidP="00331D74">
            <w:pPr>
              <w:pStyle w:val="TableText"/>
              <w:keepNext/>
              <w:rPr>
                <w:rFonts w:eastAsia="Arial Unicode MS"/>
              </w:rPr>
            </w:pPr>
            <w:r w:rsidRPr="00EB1F02">
              <w:rPr>
                <w:rFonts w:eastAsia="Arial Unicode MS"/>
              </w:rPr>
              <w:t>Objective 2 – a specific Pae Ora objective</w:t>
            </w:r>
          </w:p>
        </w:tc>
      </w:tr>
      <w:tr w:rsidR="00331D74" w:rsidRPr="00331D74" w:rsidTr="00331D74">
        <w:trPr>
          <w:cantSplit/>
        </w:trPr>
        <w:tc>
          <w:tcPr>
            <w:tcW w:w="1985" w:type="dxa"/>
          </w:tcPr>
          <w:p w:rsidR="00331D74" w:rsidRPr="00331D74" w:rsidRDefault="00331D74" w:rsidP="00331D74">
            <w:pPr>
              <w:pStyle w:val="TableText"/>
              <w:keepNext/>
              <w:rPr>
                <w:b/>
                <w:lang w:eastAsia="en-US"/>
              </w:rPr>
            </w:pPr>
            <w:r w:rsidRPr="00331D74">
              <w:rPr>
                <w:b/>
                <w:lang w:eastAsia="en-US"/>
              </w:rPr>
              <w:t>Elements</w:t>
            </w:r>
          </w:p>
        </w:tc>
        <w:tc>
          <w:tcPr>
            <w:tcW w:w="6095" w:type="dxa"/>
            <w:vAlign w:val="center"/>
          </w:tcPr>
          <w:p w:rsidR="00331D74" w:rsidRPr="00331D74" w:rsidRDefault="00331D74" w:rsidP="00331D74">
            <w:pPr>
              <w:pStyle w:val="TableText"/>
              <w:keepNext/>
              <w:rPr>
                <w:b/>
                <w:lang w:eastAsia="en-US"/>
              </w:rPr>
            </w:pPr>
          </w:p>
        </w:tc>
      </w:tr>
      <w:tr w:rsidR="00331D74" w:rsidRPr="00DC20BD" w:rsidTr="00331D74">
        <w:trPr>
          <w:cantSplit/>
        </w:trPr>
        <w:tc>
          <w:tcPr>
            <w:tcW w:w="1985" w:type="dxa"/>
          </w:tcPr>
          <w:p w:rsidR="00331D74" w:rsidRPr="00EB1F02" w:rsidRDefault="00331D74" w:rsidP="00331D74">
            <w:pPr>
              <w:pStyle w:val="TableText"/>
              <w:keepNext/>
              <w:rPr>
                <w:lang w:eastAsia="en-US"/>
              </w:rPr>
            </w:pPr>
            <w:r w:rsidRPr="00EB1F02">
              <w:rPr>
                <w:lang w:eastAsia="en-US"/>
              </w:rPr>
              <w:t xml:space="preserve">Wai </w:t>
            </w:r>
            <w:r>
              <w:rPr>
                <w:lang w:eastAsia="en-US"/>
              </w:rPr>
              <w:t>o</w:t>
            </w:r>
            <w:r w:rsidRPr="00EB1F02">
              <w:rPr>
                <w:lang w:eastAsia="en-US"/>
              </w:rPr>
              <w:t>ra</w:t>
            </w:r>
          </w:p>
        </w:tc>
        <w:tc>
          <w:tcPr>
            <w:tcW w:w="6095" w:type="dxa"/>
            <w:vAlign w:val="center"/>
          </w:tcPr>
          <w:p w:rsidR="00331D74" w:rsidRPr="00EB1F02" w:rsidRDefault="00331D74" w:rsidP="00331D74">
            <w:pPr>
              <w:pStyle w:val="TableText"/>
              <w:keepNext/>
              <w:rPr>
                <w:rFonts w:eastAsia="Arial Unicode MS"/>
              </w:rPr>
            </w:pPr>
            <w:r w:rsidRPr="00EB1F02">
              <w:rPr>
                <w:rFonts w:eastAsia="Arial Unicode MS"/>
              </w:rPr>
              <w:t>Principles underpinning the strategy –</w:t>
            </w:r>
            <w:r>
              <w:rPr>
                <w:rFonts w:eastAsia="Arial Unicode MS"/>
              </w:rPr>
              <w:t xml:space="preserve"> </w:t>
            </w:r>
            <w:r w:rsidRPr="00EB1F02">
              <w:rPr>
                <w:rFonts w:eastAsia="Arial Unicode MS"/>
              </w:rPr>
              <w:t xml:space="preserve">public health services based on the Ottawa Charter </w:t>
            </w:r>
            <w:r>
              <w:rPr>
                <w:rFonts w:eastAsia="Arial Unicode MS"/>
              </w:rPr>
              <w:t xml:space="preserve">for Health Promotion </w:t>
            </w:r>
            <w:r w:rsidRPr="00EB1F02">
              <w:rPr>
                <w:rFonts w:eastAsia="Arial Unicode MS"/>
              </w:rPr>
              <w:t>and New Zealand models (</w:t>
            </w:r>
            <w:r>
              <w:rPr>
                <w:rFonts w:eastAsia="Arial Unicode MS"/>
              </w:rPr>
              <w:t>‘</w:t>
            </w:r>
            <w:r w:rsidRPr="00EB1F02">
              <w:rPr>
                <w:rFonts w:eastAsia="Arial Unicode MS"/>
              </w:rPr>
              <w:t>healthy environments</w:t>
            </w:r>
            <w:r>
              <w:rPr>
                <w:rFonts w:eastAsia="Arial Unicode MS"/>
              </w:rPr>
              <w:t>’</w:t>
            </w:r>
            <w:r w:rsidRPr="00EB1F02">
              <w:rPr>
                <w:rFonts w:eastAsia="Arial Unicode MS"/>
              </w:rPr>
              <w:t xml:space="preserve"> is a traditional element of a public health approach and a component of Te Pae Mahutonga)</w:t>
            </w:r>
          </w:p>
          <w:p w:rsidR="00331D74" w:rsidRPr="00EB1F02" w:rsidRDefault="00331D74" w:rsidP="00331D74">
            <w:pPr>
              <w:pStyle w:val="TableText"/>
              <w:keepNext/>
              <w:rPr>
                <w:rFonts w:eastAsia="Arial Unicode MS"/>
              </w:rPr>
            </w:pPr>
            <w:r w:rsidRPr="00EB1F02">
              <w:rPr>
                <w:rFonts w:eastAsia="Arial Unicode MS"/>
              </w:rPr>
              <w:t>Objective 8, which has a particular focus on NCGMs; Māori women are particularly vulnerable to harm from NCGMs</w:t>
            </w:r>
          </w:p>
          <w:p w:rsidR="00331D74" w:rsidRPr="00EB1F02" w:rsidRDefault="00331D74" w:rsidP="00331D74">
            <w:pPr>
              <w:pStyle w:val="TableText"/>
              <w:keepNext/>
              <w:rPr>
                <w:rFonts w:eastAsia="Arial Unicode MS"/>
              </w:rPr>
            </w:pPr>
            <w:r w:rsidRPr="00EB1F02">
              <w:rPr>
                <w:rFonts w:eastAsia="Arial Unicode MS"/>
              </w:rPr>
              <w:t>Public health service specification purchase unit 2 (safe gambling environments)</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 xml:space="preserve">Whānau </w:t>
            </w:r>
            <w:r>
              <w:rPr>
                <w:lang w:eastAsia="en-US"/>
              </w:rPr>
              <w:t>o</w:t>
            </w:r>
            <w:r w:rsidRPr="00EB1F02">
              <w:rPr>
                <w:lang w:eastAsia="en-US"/>
              </w:rPr>
              <w:t>ra</w:t>
            </w:r>
          </w:p>
        </w:tc>
        <w:tc>
          <w:tcPr>
            <w:tcW w:w="6095" w:type="dxa"/>
            <w:vAlign w:val="center"/>
          </w:tcPr>
          <w:p w:rsidR="00331D74" w:rsidRPr="00EB1F02" w:rsidRDefault="00331D74" w:rsidP="00F072F3">
            <w:pPr>
              <w:pStyle w:val="TableText"/>
              <w:rPr>
                <w:rFonts w:eastAsia="Arial Unicode MS"/>
              </w:rPr>
            </w:pPr>
            <w:r w:rsidRPr="00EB1F02">
              <w:rPr>
                <w:rFonts w:eastAsia="Arial Unicode MS"/>
              </w:rPr>
              <w:t>Objectives 5 and 7 and public health service specification purchase unit 4 (aware communities)</w:t>
            </w:r>
          </w:p>
          <w:p w:rsidR="00331D74" w:rsidRPr="00EB1F02" w:rsidRDefault="00331D74" w:rsidP="00F072F3">
            <w:pPr>
              <w:pStyle w:val="TableText"/>
              <w:rPr>
                <w:rFonts w:eastAsia="Arial Unicode MS"/>
              </w:rPr>
            </w:pPr>
            <w:r w:rsidRPr="00EB1F02">
              <w:rPr>
                <w:rFonts w:eastAsia="Arial Unicode MS"/>
              </w:rPr>
              <w:t>Public health service specification purchase unit 3 (supportive communities)</w:t>
            </w:r>
          </w:p>
          <w:p w:rsidR="00331D74" w:rsidRPr="00EB1F02" w:rsidRDefault="00331D74" w:rsidP="00F072F3">
            <w:pPr>
              <w:pStyle w:val="TableText"/>
              <w:rPr>
                <w:rFonts w:eastAsia="Arial Unicode MS"/>
              </w:rPr>
            </w:pPr>
            <w:r w:rsidRPr="00EB1F02">
              <w:rPr>
                <w:rFonts w:eastAsia="Arial Unicode MS"/>
              </w:rPr>
              <w:t>Free intervention services for whānau, including dedicated Māori services</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 xml:space="preserve">Mauri </w:t>
            </w:r>
            <w:r>
              <w:rPr>
                <w:lang w:eastAsia="en-US"/>
              </w:rPr>
              <w:t>o</w:t>
            </w:r>
            <w:r w:rsidRPr="00EB1F02">
              <w:rPr>
                <w:lang w:eastAsia="en-US"/>
              </w:rPr>
              <w:t>ra</w:t>
            </w:r>
          </w:p>
        </w:tc>
        <w:tc>
          <w:tcPr>
            <w:tcW w:w="6095" w:type="dxa"/>
            <w:vAlign w:val="center"/>
          </w:tcPr>
          <w:p w:rsidR="00331D74" w:rsidRPr="00EB1F02" w:rsidRDefault="00331D74" w:rsidP="00F072F3">
            <w:pPr>
              <w:pStyle w:val="TableText"/>
              <w:rPr>
                <w:rFonts w:eastAsia="Arial Unicode MS"/>
              </w:rPr>
            </w:pPr>
            <w:r w:rsidRPr="00EB1F02">
              <w:rPr>
                <w:rFonts w:eastAsia="Arial Unicode MS"/>
              </w:rPr>
              <w:t>Public health service specification purchase unit 5 (effective screening environments)</w:t>
            </w:r>
          </w:p>
          <w:p w:rsidR="00331D74" w:rsidRPr="00EB1F02" w:rsidRDefault="00331D74" w:rsidP="00F072F3">
            <w:pPr>
              <w:pStyle w:val="TableText"/>
              <w:rPr>
                <w:rFonts w:eastAsia="Arial Unicode MS"/>
              </w:rPr>
            </w:pPr>
            <w:r w:rsidRPr="00EB1F02">
              <w:rPr>
                <w:rFonts w:eastAsia="Arial Unicode MS"/>
              </w:rPr>
              <w:t>Free intervention services for individuals harmed by their own or someone else</w:t>
            </w:r>
            <w:r>
              <w:rPr>
                <w:rFonts w:eastAsia="Arial Unicode MS"/>
              </w:rPr>
              <w:t>’</w:t>
            </w:r>
            <w:r w:rsidRPr="00EB1F02">
              <w:rPr>
                <w:rFonts w:eastAsia="Arial Unicode MS"/>
              </w:rPr>
              <w:t>s gambling</w:t>
            </w:r>
          </w:p>
          <w:p w:rsidR="00331D74" w:rsidRDefault="00331D74" w:rsidP="00F072F3">
            <w:pPr>
              <w:pStyle w:val="TableText"/>
              <w:rPr>
                <w:rFonts w:eastAsia="Arial Unicode MS"/>
              </w:rPr>
            </w:pPr>
            <w:r w:rsidRPr="00EB1F02">
              <w:rPr>
                <w:rFonts w:eastAsia="Arial Unicode MS"/>
              </w:rPr>
              <w:t>Intervention service specification purchase units:</w:t>
            </w:r>
          </w:p>
          <w:p w:rsidR="00331D74" w:rsidRDefault="00331D74" w:rsidP="00331D74">
            <w:pPr>
              <w:pStyle w:val="TableBullet"/>
              <w:rPr>
                <w:rFonts w:eastAsia="Arial Unicode MS"/>
              </w:rPr>
            </w:pPr>
            <w:r w:rsidRPr="00EB1F02">
              <w:rPr>
                <w:rFonts w:eastAsia="Arial Unicode MS"/>
              </w:rPr>
              <w:t>1 – helpline and information service</w:t>
            </w:r>
          </w:p>
          <w:p w:rsidR="00331D74" w:rsidRDefault="00331D74" w:rsidP="00331D74">
            <w:pPr>
              <w:pStyle w:val="TableBullet"/>
              <w:rPr>
                <w:rFonts w:eastAsia="Arial Unicode MS"/>
              </w:rPr>
            </w:pPr>
            <w:r w:rsidRPr="00EB1F02">
              <w:rPr>
                <w:rFonts w:eastAsia="Arial Unicode MS"/>
              </w:rPr>
              <w:t>2 – helpline and information service – brief interventions</w:t>
            </w:r>
          </w:p>
          <w:p w:rsidR="00331D74" w:rsidRDefault="00331D74" w:rsidP="00331D74">
            <w:pPr>
              <w:pStyle w:val="TableBullet"/>
              <w:rPr>
                <w:rFonts w:eastAsia="Arial Unicode MS"/>
              </w:rPr>
            </w:pPr>
            <w:r w:rsidRPr="00EB1F02">
              <w:rPr>
                <w:rFonts w:eastAsia="Arial Unicode MS"/>
              </w:rPr>
              <w:t>3 – full interventions</w:t>
            </w:r>
          </w:p>
          <w:p w:rsidR="00331D74" w:rsidRDefault="00331D74" w:rsidP="00331D74">
            <w:pPr>
              <w:pStyle w:val="TableBullet"/>
              <w:rPr>
                <w:rFonts w:eastAsia="Arial Unicode MS"/>
              </w:rPr>
            </w:pPr>
            <w:r w:rsidRPr="00EB1F02">
              <w:rPr>
                <w:rFonts w:eastAsia="Arial Unicode MS"/>
              </w:rPr>
              <w:t>4 – facilitation of access to other relevant services</w:t>
            </w:r>
          </w:p>
          <w:p w:rsidR="00331D74" w:rsidRPr="00EB1F02" w:rsidRDefault="00331D74" w:rsidP="00331D74">
            <w:pPr>
              <w:pStyle w:val="TableBullet"/>
              <w:rPr>
                <w:rFonts w:eastAsia="Arial Unicode MS"/>
              </w:rPr>
            </w:pPr>
            <w:r w:rsidRPr="00EB1F02">
              <w:rPr>
                <w:rFonts w:eastAsia="Arial Unicode MS"/>
              </w:rPr>
              <w:t>5 – follow-up</w:t>
            </w:r>
          </w:p>
        </w:tc>
      </w:tr>
      <w:tr w:rsidR="00331D74" w:rsidRPr="00331D74" w:rsidTr="00331D74">
        <w:trPr>
          <w:cantSplit/>
        </w:trPr>
        <w:tc>
          <w:tcPr>
            <w:tcW w:w="1985" w:type="dxa"/>
          </w:tcPr>
          <w:p w:rsidR="00331D74" w:rsidRPr="00331D74" w:rsidRDefault="00331D74" w:rsidP="00F072F3">
            <w:pPr>
              <w:pStyle w:val="TableText"/>
              <w:rPr>
                <w:b/>
                <w:lang w:eastAsia="en-US"/>
              </w:rPr>
            </w:pPr>
            <w:r w:rsidRPr="00331D74">
              <w:rPr>
                <w:b/>
                <w:lang w:eastAsia="en-US"/>
              </w:rPr>
              <w:t>Directions</w:t>
            </w:r>
          </w:p>
        </w:tc>
        <w:tc>
          <w:tcPr>
            <w:tcW w:w="6095" w:type="dxa"/>
            <w:vAlign w:val="center"/>
          </w:tcPr>
          <w:p w:rsidR="00331D74" w:rsidRPr="00331D74" w:rsidRDefault="00331D74" w:rsidP="00F072F3">
            <w:pPr>
              <w:pStyle w:val="TableText"/>
              <w:rPr>
                <w:b/>
                <w:lang w:eastAsia="en-US"/>
              </w:rPr>
            </w:pP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Māori aspirations and contributions</w:t>
            </w:r>
          </w:p>
        </w:tc>
        <w:tc>
          <w:tcPr>
            <w:tcW w:w="6095" w:type="dxa"/>
          </w:tcPr>
          <w:p w:rsidR="00331D74" w:rsidRPr="00EB1F02" w:rsidRDefault="00331D74" w:rsidP="00F072F3">
            <w:pPr>
              <w:pStyle w:val="TableText"/>
              <w:rPr>
                <w:lang w:eastAsia="en-US"/>
              </w:rPr>
            </w:pPr>
            <w:r w:rsidRPr="00EB1F02">
              <w:rPr>
                <w:rFonts w:eastAsia="Arial Unicode MS"/>
              </w:rPr>
              <w:t>Objective 2 – a specific Pae Ora objective</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Crown aspirations and contributions</w:t>
            </w:r>
          </w:p>
        </w:tc>
        <w:tc>
          <w:tcPr>
            <w:tcW w:w="6095" w:type="dxa"/>
          </w:tcPr>
          <w:p w:rsidR="00331D74" w:rsidRPr="00EB1F02" w:rsidRDefault="00331D74" w:rsidP="00F072F3">
            <w:pPr>
              <w:pStyle w:val="TableText"/>
              <w:rPr>
                <w:lang w:eastAsia="en-US"/>
              </w:rPr>
            </w:pPr>
            <w:r w:rsidRPr="00EB1F02">
              <w:rPr>
                <w:rFonts w:eastAsia="Arial Unicode MS"/>
              </w:rPr>
              <w:t>The strategy is a Crown strategy</w:t>
            </w:r>
          </w:p>
          <w:p w:rsidR="00331D74" w:rsidRPr="00EB1F02" w:rsidRDefault="00331D74" w:rsidP="00F072F3">
            <w:pPr>
              <w:pStyle w:val="TableText"/>
              <w:rPr>
                <w:lang w:eastAsia="en-US"/>
              </w:rPr>
            </w:pPr>
            <w:r w:rsidRPr="00EB1F02">
              <w:rPr>
                <w:rFonts w:eastAsia="Arial Unicode MS"/>
              </w:rPr>
              <w:t>Overall goal of the strategy – the Crown working with others, including families</w:t>
            </w:r>
            <w:r w:rsidR="009C5BBD">
              <w:rPr>
                <w:rFonts w:eastAsia="Arial Unicode MS"/>
              </w:rPr>
              <w:t xml:space="preserve"> and </w:t>
            </w:r>
            <w:r w:rsidRPr="00EB1F02">
              <w:rPr>
                <w:rFonts w:eastAsia="Arial Unicode MS"/>
              </w:rPr>
              <w:t>whānau, to prevent and minimise gambling harm and to reduce related health inequities</w:t>
            </w:r>
          </w:p>
        </w:tc>
      </w:tr>
      <w:tr w:rsidR="00331D74" w:rsidRPr="00331D74" w:rsidTr="00331D74">
        <w:trPr>
          <w:cantSplit/>
        </w:trPr>
        <w:tc>
          <w:tcPr>
            <w:tcW w:w="1985" w:type="dxa"/>
          </w:tcPr>
          <w:p w:rsidR="00331D74" w:rsidRPr="00331D74" w:rsidRDefault="00331D74" w:rsidP="002B4C78">
            <w:pPr>
              <w:pStyle w:val="TableText"/>
              <w:keepNext/>
              <w:rPr>
                <w:b/>
                <w:lang w:eastAsia="en-US"/>
              </w:rPr>
            </w:pPr>
            <w:r w:rsidRPr="00331D74">
              <w:rPr>
                <w:b/>
                <w:lang w:eastAsia="en-US"/>
              </w:rPr>
              <w:lastRenderedPageBreak/>
              <w:t>Key threads</w:t>
            </w:r>
          </w:p>
        </w:tc>
        <w:tc>
          <w:tcPr>
            <w:tcW w:w="6095" w:type="dxa"/>
            <w:vAlign w:val="center"/>
          </w:tcPr>
          <w:p w:rsidR="00331D74" w:rsidRPr="00331D74" w:rsidRDefault="00331D74" w:rsidP="002B4C78">
            <w:pPr>
              <w:pStyle w:val="TableText"/>
              <w:keepNext/>
              <w:rPr>
                <w:b/>
                <w:lang w:eastAsia="en-US"/>
              </w:rPr>
            </w:pPr>
          </w:p>
        </w:tc>
      </w:tr>
      <w:tr w:rsidR="00331D74" w:rsidRPr="00DC20BD" w:rsidTr="00331D74">
        <w:trPr>
          <w:cantSplit/>
        </w:trPr>
        <w:tc>
          <w:tcPr>
            <w:tcW w:w="1985" w:type="dxa"/>
          </w:tcPr>
          <w:p w:rsidR="00331D74" w:rsidRPr="00EB1F02" w:rsidRDefault="00331D74" w:rsidP="002B4C78">
            <w:pPr>
              <w:pStyle w:val="TableText"/>
              <w:keepNext/>
              <w:rPr>
                <w:lang w:eastAsia="en-US"/>
              </w:rPr>
            </w:pPr>
            <w:r w:rsidRPr="00EB1F02">
              <w:rPr>
                <w:lang w:eastAsia="en-US"/>
              </w:rPr>
              <w:t>Rangatiratanga</w:t>
            </w:r>
          </w:p>
        </w:tc>
        <w:tc>
          <w:tcPr>
            <w:tcW w:w="6095" w:type="dxa"/>
            <w:vAlign w:val="center"/>
          </w:tcPr>
          <w:p w:rsidR="00331D74" w:rsidRPr="00EB1F02" w:rsidRDefault="00331D74" w:rsidP="002B4C78">
            <w:pPr>
              <w:pStyle w:val="TableText"/>
              <w:keepNext/>
              <w:rPr>
                <w:lang w:eastAsia="en-US"/>
              </w:rPr>
            </w:pPr>
            <w:r w:rsidRPr="00EB1F02">
              <w:t>Dedicated Māori services using Māori-derived beliefs, values and practices</w:t>
            </w:r>
          </w:p>
        </w:tc>
      </w:tr>
      <w:tr w:rsidR="00331D74" w:rsidRPr="00DC20BD" w:rsidTr="00331D74">
        <w:trPr>
          <w:cantSplit/>
        </w:trPr>
        <w:tc>
          <w:tcPr>
            <w:tcW w:w="1985" w:type="dxa"/>
          </w:tcPr>
          <w:p w:rsidR="00331D74" w:rsidRPr="00EB1F02" w:rsidRDefault="00331D74" w:rsidP="002B4C78">
            <w:pPr>
              <w:pStyle w:val="TableText"/>
              <w:keepNext/>
              <w:rPr>
                <w:lang w:eastAsia="en-US"/>
              </w:rPr>
            </w:pPr>
            <w:r w:rsidRPr="00EB1F02">
              <w:rPr>
                <w:lang w:eastAsia="en-US"/>
              </w:rPr>
              <w:t>Building on the gains</w:t>
            </w:r>
          </w:p>
        </w:tc>
        <w:tc>
          <w:tcPr>
            <w:tcW w:w="6095" w:type="dxa"/>
            <w:vAlign w:val="center"/>
          </w:tcPr>
          <w:p w:rsidR="00331D74" w:rsidRPr="00331D74" w:rsidRDefault="00331D74" w:rsidP="002B4C78">
            <w:pPr>
              <w:pStyle w:val="TableText"/>
              <w:keepNext/>
              <w:rPr>
                <w:rFonts w:eastAsia="Arial Unicode MS"/>
                <w:spacing w:val="-4"/>
              </w:rPr>
            </w:pPr>
            <w:r w:rsidRPr="00331D74">
              <w:rPr>
                <w:rFonts w:eastAsia="Arial Unicode MS"/>
                <w:spacing w:val="-4"/>
              </w:rPr>
              <w:t>Principles underpinning the strategy – a focus on improving Māori health gains</w:t>
            </w:r>
          </w:p>
          <w:p w:rsidR="00331D74" w:rsidRPr="00EB1F02" w:rsidRDefault="00331D74" w:rsidP="002B4C78">
            <w:pPr>
              <w:pStyle w:val="TableText"/>
              <w:keepNext/>
              <w:rPr>
                <w:rFonts w:eastAsia="Arial Unicode MS"/>
              </w:rPr>
            </w:pPr>
            <w:r w:rsidRPr="00EB1F02">
              <w:rPr>
                <w:rFonts w:eastAsia="Arial Unicode MS"/>
              </w:rPr>
              <w:t>Objective 2 – a specifi</w:t>
            </w:r>
            <w:r>
              <w:rPr>
                <w:rFonts w:eastAsia="Arial Unicode MS"/>
              </w:rPr>
              <w:t>c Pae Ora objective</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Equity</w:t>
            </w:r>
          </w:p>
        </w:tc>
        <w:tc>
          <w:tcPr>
            <w:tcW w:w="6095" w:type="dxa"/>
            <w:vAlign w:val="center"/>
          </w:tcPr>
          <w:p w:rsidR="00331D74" w:rsidRPr="00EB1F02" w:rsidRDefault="00331D74" w:rsidP="00F072F3">
            <w:pPr>
              <w:pStyle w:val="TableText"/>
              <w:rPr>
                <w:lang w:eastAsia="en-US"/>
              </w:rPr>
            </w:pPr>
            <w:r w:rsidRPr="00EB1F02">
              <w:rPr>
                <w:rFonts w:eastAsia="Arial Unicode MS"/>
              </w:rPr>
              <w:t>Overall goal of the strategy – a reduction in health inequities related to gambling harm – and a principle underpinning the strategy – health equity</w:t>
            </w:r>
          </w:p>
          <w:p w:rsidR="00331D74" w:rsidRPr="00EB1F02" w:rsidRDefault="00331D74" w:rsidP="00F072F3">
            <w:pPr>
              <w:pStyle w:val="TableText"/>
              <w:rPr>
                <w:lang w:eastAsia="en-US"/>
              </w:rPr>
            </w:pPr>
            <w:r w:rsidRPr="00EB1F02">
              <w:rPr>
                <w:rFonts w:eastAsia="Arial Unicode MS"/>
              </w:rPr>
              <w:t xml:space="preserve">Reference in health equity discussion to </w:t>
            </w:r>
            <w:r w:rsidRPr="00EB1F02">
              <w:rPr>
                <w:rFonts w:eastAsia="Arial Unicode MS"/>
                <w:i/>
              </w:rPr>
              <w:t>Equity of Health Care for Māori: A framework</w:t>
            </w:r>
            <w:r w:rsidRPr="00EB1F02">
              <w:rPr>
                <w:rFonts w:eastAsia="Arial Unicode MS"/>
              </w:rPr>
              <w:t xml:space="preserve"> (Ministry of Health 2014</w:t>
            </w:r>
            <w:r>
              <w:rPr>
                <w:rFonts w:eastAsia="Arial Unicode MS"/>
              </w:rPr>
              <w:t>b</w:t>
            </w:r>
            <w:r w:rsidRPr="00EB1F02">
              <w:rPr>
                <w:rFonts w:eastAsia="Arial Unicode MS"/>
              </w:rPr>
              <w:t>)</w:t>
            </w:r>
          </w:p>
          <w:p w:rsidR="00331D74" w:rsidRPr="00EB1F02" w:rsidRDefault="00331D74" w:rsidP="00F072F3">
            <w:pPr>
              <w:pStyle w:val="TableText"/>
              <w:rPr>
                <w:lang w:eastAsia="en-US"/>
              </w:rPr>
            </w:pPr>
            <w:r w:rsidRPr="00EB1F02">
              <w:rPr>
                <w:rFonts w:eastAsia="Arial Unicode MS"/>
              </w:rPr>
              <w:t>Objective 1 – a specific health equity objective</w:t>
            </w:r>
          </w:p>
          <w:p w:rsidR="00331D74" w:rsidRPr="00EB1F02" w:rsidRDefault="00331D74" w:rsidP="00F072F3">
            <w:pPr>
              <w:pStyle w:val="TableText"/>
              <w:rPr>
                <w:lang w:eastAsia="en-US"/>
              </w:rPr>
            </w:pPr>
            <w:r w:rsidRPr="00EB1F02">
              <w:rPr>
                <w:rFonts w:eastAsia="Arial Unicode MS"/>
              </w:rPr>
              <w:t>Objective 2 – a specific Pae Ora objective – priority actions related to health equity for Māori</w:t>
            </w:r>
          </w:p>
          <w:p w:rsidR="00331D74" w:rsidRPr="00EB1F02" w:rsidRDefault="00331D74" w:rsidP="00F072F3">
            <w:pPr>
              <w:pStyle w:val="TableText"/>
              <w:rPr>
                <w:lang w:eastAsia="en-US"/>
              </w:rPr>
            </w:pPr>
            <w:r w:rsidRPr="00EB1F02">
              <w:rPr>
                <w:lang w:eastAsia="en-US"/>
              </w:rPr>
              <w:t>Objectives 6 and 9, which require a health equity focus</w:t>
            </w:r>
          </w:p>
          <w:p w:rsidR="00331D74" w:rsidRPr="00EB1F02" w:rsidRDefault="00331D74" w:rsidP="00F072F3">
            <w:pPr>
              <w:pStyle w:val="TableText"/>
              <w:rPr>
                <w:lang w:eastAsia="en-US"/>
              </w:rPr>
            </w:pPr>
            <w:r w:rsidRPr="00EB1F02">
              <w:rPr>
                <w:rFonts w:eastAsia="Arial Unicode MS"/>
              </w:rPr>
              <w:t>Planning and prioritisation processes – mapping need based on population-specific prevalence and access rates</w:t>
            </w:r>
          </w:p>
        </w:tc>
      </w:tr>
      <w:tr w:rsidR="00331D74" w:rsidRPr="00331D74" w:rsidTr="00331D74">
        <w:trPr>
          <w:cantSplit/>
        </w:trPr>
        <w:tc>
          <w:tcPr>
            <w:tcW w:w="1985" w:type="dxa"/>
          </w:tcPr>
          <w:p w:rsidR="00331D74" w:rsidRPr="00331D74" w:rsidRDefault="00331D74" w:rsidP="00F072F3">
            <w:pPr>
              <w:pStyle w:val="TableText"/>
              <w:rPr>
                <w:b/>
                <w:lang w:eastAsia="en-US"/>
              </w:rPr>
            </w:pPr>
            <w:r w:rsidRPr="00331D74">
              <w:rPr>
                <w:b/>
                <w:lang w:eastAsia="en-US"/>
              </w:rPr>
              <w:t>Pathways for action</w:t>
            </w:r>
          </w:p>
        </w:tc>
        <w:tc>
          <w:tcPr>
            <w:tcW w:w="6095" w:type="dxa"/>
            <w:vAlign w:val="center"/>
          </w:tcPr>
          <w:p w:rsidR="00331D74" w:rsidRPr="00331D74" w:rsidRDefault="00331D74" w:rsidP="00F072F3">
            <w:pPr>
              <w:pStyle w:val="TableText"/>
              <w:rPr>
                <w:b/>
                <w:lang w:eastAsia="en-US"/>
              </w:rPr>
            </w:pP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Whānau, h</w:t>
            </w:r>
            <w:r>
              <w:rPr>
                <w:lang w:eastAsia="en-US"/>
              </w:rPr>
              <w:t>a</w:t>
            </w:r>
            <w:r w:rsidRPr="00EB1F02">
              <w:rPr>
                <w:lang w:eastAsia="en-US"/>
              </w:rPr>
              <w:t>p</w:t>
            </w:r>
            <w:r>
              <w:rPr>
                <w:lang w:eastAsia="en-US"/>
              </w:rPr>
              <w:t>ū</w:t>
            </w:r>
            <w:r w:rsidRPr="00EB1F02">
              <w:rPr>
                <w:lang w:eastAsia="en-US"/>
              </w:rPr>
              <w:t>, iwi, community development</w:t>
            </w:r>
          </w:p>
        </w:tc>
        <w:tc>
          <w:tcPr>
            <w:tcW w:w="6095" w:type="dxa"/>
            <w:vAlign w:val="center"/>
          </w:tcPr>
          <w:p w:rsidR="00331D74" w:rsidRPr="00EB1F02" w:rsidRDefault="00331D74" w:rsidP="00F072F3">
            <w:pPr>
              <w:pStyle w:val="TableText"/>
              <w:rPr>
                <w:rFonts w:eastAsia="Arial Unicode MS"/>
              </w:rPr>
            </w:pPr>
            <w:r w:rsidRPr="00EB1F02">
              <w:rPr>
                <w:rFonts w:eastAsia="Arial Unicode MS"/>
              </w:rPr>
              <w:t>Principles underpinning the strategy – strengthen communities and public health service specification purchase units 3 and 4 (aware and supportive communities)</w:t>
            </w:r>
          </w:p>
          <w:p w:rsidR="00331D74" w:rsidRPr="00EB1F02" w:rsidRDefault="00331D74" w:rsidP="00F072F3">
            <w:pPr>
              <w:pStyle w:val="TableText"/>
              <w:rPr>
                <w:rFonts w:eastAsia="Arial Unicode MS"/>
              </w:rPr>
            </w:pPr>
            <w:r w:rsidRPr="00EB1F02">
              <w:rPr>
                <w:rFonts w:eastAsia="Arial Unicode MS"/>
              </w:rPr>
              <w:t>Requi</w:t>
            </w:r>
            <w:r>
              <w:rPr>
                <w:rFonts w:eastAsia="Arial Unicode MS"/>
              </w:rPr>
              <w:t>rements for services to be free</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Māori participation</w:t>
            </w:r>
          </w:p>
        </w:tc>
        <w:tc>
          <w:tcPr>
            <w:tcW w:w="6095" w:type="dxa"/>
            <w:vAlign w:val="center"/>
          </w:tcPr>
          <w:p w:rsidR="00331D74" w:rsidRPr="00331D74" w:rsidRDefault="00331D74" w:rsidP="00F072F3">
            <w:pPr>
              <w:pStyle w:val="TableText"/>
              <w:rPr>
                <w:rFonts w:cs="Arial"/>
                <w:spacing w:val="-4"/>
              </w:rPr>
            </w:pPr>
            <w:r w:rsidRPr="00331D74">
              <w:rPr>
                <w:rFonts w:eastAsia="Arial Unicode MS"/>
                <w:spacing w:val="-4"/>
              </w:rPr>
              <w:t>Māori representation on key forums and bodies and d</w:t>
            </w:r>
            <w:r w:rsidRPr="00331D74">
              <w:rPr>
                <w:rFonts w:cs="Arial"/>
                <w:spacing w:val="-4"/>
              </w:rPr>
              <w:t>edicated Māori services</w:t>
            </w:r>
          </w:p>
          <w:p w:rsidR="00331D74" w:rsidRPr="00EB1F02" w:rsidRDefault="00331D74" w:rsidP="00F072F3">
            <w:pPr>
              <w:pStyle w:val="TableText"/>
              <w:rPr>
                <w:lang w:eastAsia="en-US"/>
              </w:rPr>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Effective service delivery</w:t>
            </w:r>
          </w:p>
        </w:tc>
        <w:tc>
          <w:tcPr>
            <w:tcW w:w="6095" w:type="dxa"/>
            <w:vAlign w:val="center"/>
          </w:tcPr>
          <w:p w:rsidR="00331D74" w:rsidRPr="00EB1F02" w:rsidRDefault="00331D74" w:rsidP="00F072F3">
            <w:pPr>
              <w:pStyle w:val="TableText"/>
            </w:pPr>
            <w:r w:rsidRPr="00EB1F02">
              <w:t>Dedicated Māori services</w:t>
            </w:r>
          </w:p>
          <w:p w:rsidR="00331D74" w:rsidRPr="00331D74" w:rsidRDefault="00331D74" w:rsidP="00F072F3">
            <w:pPr>
              <w:pStyle w:val="TableText"/>
              <w:rPr>
                <w:spacing w:val="-2"/>
              </w:rPr>
            </w:pPr>
            <w:r w:rsidRPr="00331D74">
              <w:rPr>
                <w:spacing w:val="-2"/>
              </w:rPr>
              <w:t>Requirements for general services – Māori responsiveness, support for access to dedicated Māori services where available and a focus on health literacy</w:t>
            </w:r>
          </w:p>
          <w:p w:rsidR="00331D74" w:rsidRPr="00EB1F02" w:rsidRDefault="00331D74" w:rsidP="00F072F3">
            <w:pPr>
              <w:pStyle w:val="TableText"/>
            </w:pPr>
            <w:r w:rsidRPr="00EB1F02">
              <w:t xml:space="preserve">Infrastructure </w:t>
            </w:r>
            <w:r w:rsidRPr="00EB1F02">
              <w:rPr>
                <w:lang w:eastAsia="en-US"/>
              </w:rPr>
              <w:t>intervention and public health</w:t>
            </w:r>
            <w:r w:rsidRPr="00EB1F02">
              <w:t xml:space="preserve"> service specification </w:t>
            </w:r>
            <w:r w:rsidRPr="00EB1F02">
              <w:rPr>
                <w:rFonts w:eastAsia="Arial Unicode MS"/>
              </w:rPr>
              <w:t xml:space="preserve">purchase unit </w:t>
            </w:r>
            <w:r w:rsidRPr="00EB1F02">
              <w:t>1 (kaumātua consultation and liaison)</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Working across sectors</w:t>
            </w:r>
          </w:p>
        </w:tc>
        <w:tc>
          <w:tcPr>
            <w:tcW w:w="6095" w:type="dxa"/>
            <w:vAlign w:val="center"/>
          </w:tcPr>
          <w:p w:rsidR="00331D74" w:rsidRPr="00EB1F02" w:rsidRDefault="00331D74" w:rsidP="00F072F3">
            <w:pPr>
              <w:pStyle w:val="TableText"/>
              <w:rPr>
                <w:rFonts w:eastAsia="Arial Unicode MS"/>
              </w:rPr>
            </w:pPr>
            <w:r w:rsidRPr="00EB1F02">
              <w:rPr>
                <w:rFonts w:eastAsia="Arial Unicode MS"/>
              </w:rPr>
              <w:t>Principles underpinning the strategy – intersectoral approach</w:t>
            </w:r>
          </w:p>
          <w:p w:rsidR="00331D74" w:rsidRPr="00EB1F02" w:rsidRDefault="00331D74" w:rsidP="00F072F3">
            <w:pPr>
              <w:pStyle w:val="TableText"/>
              <w:rPr>
                <w:rFonts w:eastAsia="Arial Unicode MS"/>
              </w:rPr>
            </w:pPr>
            <w:r w:rsidRPr="00EB1F02">
              <w:rPr>
                <w:rFonts w:eastAsia="Arial Unicode MS"/>
              </w:rPr>
              <w:t>Objectives 4 and 5</w:t>
            </w:r>
          </w:p>
          <w:p w:rsidR="00331D74" w:rsidRPr="00EB1F02" w:rsidRDefault="00331D74" w:rsidP="00F072F3">
            <w:pPr>
              <w:pStyle w:val="TableText"/>
              <w:rPr>
                <w:rFonts w:eastAsia="Arial Unicode MS"/>
              </w:rPr>
            </w:pPr>
            <w:r w:rsidRPr="00EB1F02">
              <w:rPr>
                <w:rFonts w:eastAsia="Arial Unicode MS"/>
              </w:rPr>
              <w:t>Public health service specification purchase units 1 (policy development and implementation), 2 (safe gambling environments) and 5 (effective screening environments)</w:t>
            </w:r>
          </w:p>
          <w:p w:rsidR="00331D74" w:rsidRPr="00EB1F02" w:rsidRDefault="00331D74" w:rsidP="00F072F3">
            <w:pPr>
              <w:pStyle w:val="TableText"/>
              <w:rPr>
                <w:rFonts w:eastAsia="Arial Unicode MS"/>
              </w:rPr>
            </w:pPr>
            <w:r w:rsidRPr="00EB1F02">
              <w:rPr>
                <w:rFonts w:eastAsia="Arial Unicode MS"/>
              </w:rPr>
              <w:t>Intervention service specification purchase unit 4 (facilitation services)</w:t>
            </w:r>
          </w:p>
        </w:tc>
      </w:tr>
      <w:tr w:rsidR="00331D74" w:rsidRPr="00331D74" w:rsidTr="00331D74">
        <w:trPr>
          <w:cantSplit/>
        </w:trPr>
        <w:tc>
          <w:tcPr>
            <w:tcW w:w="1985" w:type="dxa"/>
          </w:tcPr>
          <w:p w:rsidR="00331D74" w:rsidRPr="00331D74" w:rsidRDefault="00331D74" w:rsidP="002B4C78">
            <w:pPr>
              <w:pStyle w:val="TableText"/>
              <w:keepNext/>
              <w:rPr>
                <w:b/>
                <w:lang w:eastAsia="en-US"/>
              </w:rPr>
            </w:pPr>
            <w:r w:rsidRPr="00331D74">
              <w:rPr>
                <w:b/>
                <w:lang w:eastAsia="en-US"/>
              </w:rPr>
              <w:lastRenderedPageBreak/>
              <w:t>Core components</w:t>
            </w:r>
          </w:p>
        </w:tc>
        <w:tc>
          <w:tcPr>
            <w:tcW w:w="6095" w:type="dxa"/>
            <w:vAlign w:val="center"/>
          </w:tcPr>
          <w:p w:rsidR="00331D74" w:rsidRPr="00331D74" w:rsidRDefault="00331D74" w:rsidP="002B4C78">
            <w:pPr>
              <w:pStyle w:val="TableText"/>
              <w:keepNext/>
              <w:rPr>
                <w:b/>
                <w:lang w:eastAsia="en-US"/>
              </w:rPr>
            </w:pPr>
          </w:p>
        </w:tc>
      </w:tr>
      <w:tr w:rsidR="00331D74" w:rsidRPr="00DC20BD" w:rsidTr="00331D74">
        <w:trPr>
          <w:cantSplit/>
        </w:trPr>
        <w:tc>
          <w:tcPr>
            <w:tcW w:w="1985" w:type="dxa"/>
          </w:tcPr>
          <w:p w:rsidR="00331D74" w:rsidRPr="00EB1F02" w:rsidRDefault="00331D74" w:rsidP="002B4C78">
            <w:pPr>
              <w:pStyle w:val="TableText"/>
              <w:keepNext/>
              <w:rPr>
                <w:lang w:eastAsia="en-US"/>
              </w:rPr>
            </w:pPr>
            <w:r>
              <w:rPr>
                <w:lang w:eastAsia="en-US"/>
              </w:rPr>
              <w:t>Principles of Te Tiriti o</w:t>
            </w:r>
            <w:r w:rsidRPr="00EB1F02">
              <w:rPr>
                <w:lang w:eastAsia="en-US"/>
              </w:rPr>
              <w:t xml:space="preserve"> Waitangi</w:t>
            </w:r>
          </w:p>
        </w:tc>
        <w:tc>
          <w:tcPr>
            <w:tcW w:w="6095" w:type="dxa"/>
            <w:vAlign w:val="center"/>
          </w:tcPr>
          <w:p w:rsidR="00331D74" w:rsidRPr="00EB1F02" w:rsidRDefault="00331D74" w:rsidP="002B4C78">
            <w:pPr>
              <w:pStyle w:val="TableText"/>
              <w:keepNext/>
              <w:rPr>
                <w:lang w:eastAsia="en-US"/>
              </w:rPr>
            </w:pPr>
            <w:r w:rsidRPr="00EB1F02">
              <w:rPr>
                <w:lang w:eastAsia="en-US"/>
              </w:rPr>
              <w:t xml:space="preserve">Partnership – </w:t>
            </w:r>
            <w:r w:rsidRPr="00EB1F02">
              <w:rPr>
                <w:rFonts w:eastAsia="Arial Unicode MS"/>
              </w:rPr>
              <w:t>Māori representation on key forums and bodies</w:t>
            </w:r>
          </w:p>
          <w:p w:rsidR="00331D74" w:rsidRPr="00EB1F02" w:rsidRDefault="00331D74" w:rsidP="002B4C78">
            <w:pPr>
              <w:pStyle w:val="TableText"/>
              <w:keepNext/>
              <w:rPr>
                <w:lang w:eastAsia="en-US"/>
              </w:rPr>
            </w:pPr>
            <w:r w:rsidRPr="00EB1F02">
              <w:rPr>
                <w:lang w:eastAsia="en-US"/>
              </w:rPr>
              <w:t>Participation – dedicated Māori services using Māori-derived beliefs, values and practices</w:t>
            </w:r>
          </w:p>
          <w:p w:rsidR="00331D74" w:rsidRPr="00EB1F02" w:rsidRDefault="00331D74" w:rsidP="002B4C78">
            <w:pPr>
              <w:pStyle w:val="TableText"/>
              <w:keepNext/>
              <w:rPr>
                <w:lang w:eastAsia="en-US"/>
              </w:rPr>
            </w:pPr>
            <w:r w:rsidRPr="00EB1F02">
              <w:rPr>
                <w:lang w:eastAsia="en-US"/>
              </w:rPr>
              <w:t xml:space="preserve">Protection – </w:t>
            </w:r>
            <w:r w:rsidRPr="00EB1F02">
              <w:rPr>
                <w:rFonts w:eastAsia="Arial Unicode MS"/>
              </w:rPr>
              <w:t>objective 2: priority actions related to health equity for Māori</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Knowledge</w:t>
            </w:r>
          </w:p>
        </w:tc>
        <w:tc>
          <w:tcPr>
            <w:tcW w:w="6095" w:type="dxa"/>
            <w:vAlign w:val="center"/>
          </w:tcPr>
          <w:p w:rsidR="00331D74" w:rsidRPr="00EB1F02" w:rsidRDefault="00331D74" w:rsidP="00F072F3">
            <w:pPr>
              <w:pStyle w:val="TableText"/>
              <w:rPr>
                <w:lang w:eastAsia="en-US"/>
              </w:rPr>
            </w:pPr>
            <w:r w:rsidRPr="00EB1F02">
              <w:rPr>
                <w:lang w:eastAsia="en-US"/>
              </w:rPr>
              <w:t>Gambling Act 2003 requirement for independent, scientific research</w:t>
            </w:r>
          </w:p>
          <w:p w:rsidR="00331D74" w:rsidRPr="00EB1F02" w:rsidRDefault="00331D74" w:rsidP="00F072F3">
            <w:pPr>
              <w:pStyle w:val="TableText"/>
              <w:rPr>
                <w:lang w:eastAsia="en-US"/>
              </w:rPr>
            </w:pPr>
            <w:r w:rsidRPr="00EB1F02">
              <w:rPr>
                <w:lang w:eastAsia="en-US"/>
              </w:rPr>
              <w:t>Objective 11</w:t>
            </w:r>
          </w:p>
          <w:p w:rsidR="00331D74" w:rsidRPr="00EB1F02" w:rsidRDefault="00331D74" w:rsidP="00F072F3">
            <w:pPr>
              <w:pStyle w:val="TableText"/>
              <w:rPr>
                <w:lang w:eastAsia="en-US"/>
              </w:rPr>
            </w:pPr>
            <w:r w:rsidRPr="00EB1F02">
              <w:rPr>
                <w:lang w:eastAsia="en-US"/>
              </w:rPr>
              <w:t>A national coordination service and service provider hui to share best-practice examples and stories of innovation</w:t>
            </w:r>
          </w:p>
          <w:p w:rsidR="00331D74" w:rsidRPr="00EB1F02" w:rsidRDefault="00331D74" w:rsidP="00F072F3">
            <w:pPr>
              <w:pStyle w:val="TableText"/>
              <w:rPr>
                <w:lang w:eastAsia="en-US"/>
              </w:rPr>
            </w:pPr>
            <w:r w:rsidRPr="00EB1F02">
              <w:rPr>
                <w:lang w:eastAsia="en-US"/>
              </w:rPr>
              <w:t>The Ministry</w:t>
            </w:r>
            <w:r>
              <w:rPr>
                <w:lang w:eastAsia="en-US"/>
              </w:rPr>
              <w:t>’</w:t>
            </w:r>
            <w:r w:rsidRPr="00EB1F02">
              <w:rPr>
                <w:lang w:eastAsia="en-US"/>
              </w:rPr>
              <w:t>s Client Information Collection (CLIC) database – includes accurate ethnicity information</w:t>
            </w:r>
          </w:p>
          <w:p w:rsidR="00331D74" w:rsidRPr="00EB1F02" w:rsidRDefault="00331D74" w:rsidP="00F072F3">
            <w:pPr>
              <w:pStyle w:val="TableText"/>
              <w:rPr>
                <w:lang w:eastAsia="en-US"/>
              </w:rPr>
            </w:pPr>
            <w:r w:rsidRPr="00EB1F02">
              <w:rPr>
                <w:lang w:eastAsia="en-US"/>
              </w:rPr>
              <w:t>Funding for provider-initiated research projects that address issues of equity for Māori</w:t>
            </w:r>
          </w:p>
          <w:p w:rsidR="00331D74" w:rsidRPr="00EB1F02" w:rsidRDefault="00331D74" w:rsidP="00F072F3">
            <w:pPr>
              <w:pStyle w:val="TableText"/>
              <w:rPr>
                <w:lang w:eastAsia="en-US"/>
              </w:rPr>
            </w:pPr>
            <w:r w:rsidRPr="00EB1F02">
              <w:rPr>
                <w:lang w:eastAsia="en-US"/>
              </w:rPr>
              <w:t>Funding for research scholarships for Māori researchers</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Quality improvement</w:t>
            </w:r>
          </w:p>
        </w:tc>
        <w:tc>
          <w:tcPr>
            <w:tcW w:w="6095" w:type="dxa"/>
            <w:vAlign w:val="center"/>
          </w:tcPr>
          <w:p w:rsidR="00331D74" w:rsidRPr="00EB1F02" w:rsidRDefault="00331D74" w:rsidP="00F072F3">
            <w:pPr>
              <w:pStyle w:val="TableText"/>
              <w:rPr>
                <w:lang w:eastAsia="en-US"/>
              </w:rPr>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p w:rsidR="00331D74" w:rsidRPr="00EB1F02" w:rsidRDefault="00331D74" w:rsidP="00F072F3">
            <w:pPr>
              <w:pStyle w:val="TableText"/>
              <w:rPr>
                <w:rFonts w:eastAsia="Arial Unicode MS"/>
              </w:rPr>
            </w:pPr>
            <w:r w:rsidRPr="00EB1F02">
              <w:rPr>
                <w:rFonts w:eastAsia="Arial Unicode MS"/>
              </w:rPr>
              <w:t>Overall goal of the strategy, principles underpinning the strategy and objective 1</w:t>
            </w:r>
          </w:p>
          <w:p w:rsidR="00331D74" w:rsidRPr="00EB1F02" w:rsidRDefault="00331D74" w:rsidP="00F072F3">
            <w:pPr>
              <w:pStyle w:val="TableText"/>
              <w:rPr>
                <w:lang w:eastAsia="en-US"/>
              </w:rPr>
            </w:pPr>
            <w:r>
              <w:rPr>
                <w:lang w:eastAsia="en-US"/>
              </w:rPr>
              <w:t xml:space="preserve">The </w:t>
            </w:r>
            <w:r w:rsidRPr="00EB1F02">
              <w:rPr>
                <w:lang w:eastAsia="en-US"/>
              </w:rPr>
              <w:t>Act</w:t>
            </w:r>
            <w:r>
              <w:rPr>
                <w:lang w:eastAsia="en-US"/>
              </w:rPr>
              <w:t>’s</w:t>
            </w:r>
            <w:r w:rsidRPr="00EB1F02">
              <w:rPr>
                <w:lang w:eastAsia="en-US"/>
              </w:rPr>
              <w:t xml:space="preserve"> requirements for a specified consultation process to develop the strategy and the problem gambling levy rates to ensure best value for resources</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Leadership</w:t>
            </w:r>
          </w:p>
        </w:tc>
        <w:tc>
          <w:tcPr>
            <w:tcW w:w="6095" w:type="dxa"/>
            <w:vAlign w:val="center"/>
          </w:tcPr>
          <w:p w:rsidR="00331D74" w:rsidRPr="00EB1F02" w:rsidRDefault="00331D74" w:rsidP="00F072F3">
            <w:pPr>
              <w:pStyle w:val="TableText"/>
              <w:rPr>
                <w:lang w:eastAsia="en-US"/>
              </w:rPr>
            </w:pPr>
            <w:r w:rsidRPr="00EB1F02">
              <w:rPr>
                <w:rFonts w:eastAsia="Arial Unicode MS"/>
              </w:rPr>
              <w:t>Māori representation on key forums and bodies</w:t>
            </w:r>
          </w:p>
          <w:p w:rsidR="00331D74" w:rsidRPr="00EB1F02" w:rsidRDefault="00331D74" w:rsidP="00F072F3">
            <w:pPr>
              <w:pStyle w:val="TableText"/>
              <w:rPr>
                <w:lang w:eastAsia="en-US"/>
              </w:rPr>
            </w:pPr>
            <w:r w:rsidRPr="00EB1F02">
              <w:rPr>
                <w:lang w:eastAsia="en-US"/>
              </w:rPr>
              <w:t>Health system leadership – an expectation that all New Zealanders will have health equity</w:t>
            </w:r>
          </w:p>
          <w:p w:rsidR="00331D74" w:rsidRPr="00EB1F02" w:rsidRDefault="00331D74" w:rsidP="00F072F3">
            <w:pPr>
              <w:pStyle w:val="TableText"/>
              <w:rPr>
                <w:lang w:eastAsia="en-US"/>
              </w:rPr>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Planning</w:t>
            </w:r>
            <w:r w:rsidR="00CE10F6">
              <w:rPr>
                <w:lang w:eastAsia="en-US"/>
              </w:rPr>
              <w:t>,</w:t>
            </w:r>
            <w:r w:rsidRPr="00EB1F02">
              <w:rPr>
                <w:lang w:eastAsia="en-US"/>
              </w:rPr>
              <w:t xml:space="preserve"> resourcing and evaluation</w:t>
            </w:r>
          </w:p>
        </w:tc>
        <w:tc>
          <w:tcPr>
            <w:tcW w:w="6095" w:type="dxa"/>
            <w:vAlign w:val="center"/>
          </w:tcPr>
          <w:p w:rsidR="00331D74" w:rsidRPr="00EB1F02" w:rsidRDefault="00331D74" w:rsidP="00F072F3">
            <w:pPr>
              <w:pStyle w:val="TableText"/>
              <w:rPr>
                <w:lang w:eastAsia="en-US"/>
              </w:rPr>
            </w:pPr>
            <w:r>
              <w:rPr>
                <w:lang w:eastAsia="en-US"/>
              </w:rPr>
              <w:t xml:space="preserve">The </w:t>
            </w:r>
            <w:r w:rsidRPr="00EB1F02">
              <w:rPr>
                <w:lang w:eastAsia="en-US"/>
              </w:rPr>
              <w:t>Act</w:t>
            </w:r>
            <w:r>
              <w:rPr>
                <w:lang w:eastAsia="en-US"/>
              </w:rPr>
              <w:t>’s</w:t>
            </w:r>
            <w:r w:rsidRPr="00EB1F02">
              <w:rPr>
                <w:lang w:eastAsia="en-US"/>
              </w:rPr>
              <w:t xml:space="preserve"> requirements for the process to develop the strategy – a consultative process for planning and resourcing</w:t>
            </w:r>
          </w:p>
          <w:p w:rsidR="00331D74" w:rsidRPr="00EB1F02" w:rsidRDefault="00331D74" w:rsidP="00F072F3">
            <w:pPr>
              <w:pStyle w:val="TableText"/>
              <w:rPr>
                <w:lang w:eastAsia="en-US"/>
              </w:rPr>
            </w:pPr>
            <w:r>
              <w:rPr>
                <w:lang w:eastAsia="en-US"/>
              </w:rPr>
              <w:t xml:space="preserve">The </w:t>
            </w:r>
            <w:r w:rsidRPr="00EB1F02">
              <w:rPr>
                <w:lang w:eastAsia="en-US"/>
              </w:rPr>
              <w:t>Act</w:t>
            </w:r>
            <w:r>
              <w:rPr>
                <w:lang w:eastAsia="en-US"/>
              </w:rPr>
              <w:t>’s</w:t>
            </w:r>
            <w:r w:rsidRPr="00EB1F02">
              <w:rPr>
                <w:lang w:eastAsia="en-US"/>
              </w:rPr>
              <w:t xml:space="preserve"> requirement for evaluation</w:t>
            </w:r>
          </w:p>
          <w:p w:rsidR="00331D74" w:rsidRPr="00EB1F02" w:rsidRDefault="00331D74" w:rsidP="00F072F3">
            <w:pPr>
              <w:pStyle w:val="TableText"/>
              <w:rPr>
                <w:lang w:eastAsia="en-US"/>
              </w:rPr>
            </w:pPr>
            <w:r w:rsidRPr="00EB1F02">
              <w:rPr>
                <w:lang w:eastAsia="en-US"/>
              </w:rPr>
              <w:t>Research and audit projects evaluating intervention and public health services</w:t>
            </w:r>
            <w:r>
              <w:rPr>
                <w:lang w:eastAsia="en-US"/>
              </w:rPr>
              <w:t>, which</w:t>
            </w:r>
            <w:r w:rsidRPr="00EB1F02">
              <w:rPr>
                <w:lang w:eastAsia="en-US"/>
              </w:rPr>
              <w:t xml:space="preserve"> assess effectiveness and responsiveness for Māori</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Outcome/performance and monitoring</w:t>
            </w:r>
          </w:p>
        </w:tc>
        <w:tc>
          <w:tcPr>
            <w:tcW w:w="6095" w:type="dxa"/>
            <w:vAlign w:val="center"/>
          </w:tcPr>
          <w:p w:rsidR="00331D74" w:rsidRPr="00EB1F02" w:rsidRDefault="00331D74" w:rsidP="00F072F3">
            <w:pPr>
              <w:pStyle w:val="TableText"/>
              <w:rPr>
                <w:lang w:eastAsia="en-US"/>
              </w:rPr>
            </w:pPr>
            <w:r w:rsidRPr="00EB1F02">
              <w:rPr>
                <w:lang w:eastAsia="en-US"/>
              </w:rPr>
              <w:t>Outcomes framework baseline and update reports, which specifically address outcomes for Māori</w:t>
            </w:r>
          </w:p>
        </w:tc>
      </w:tr>
      <w:bookmarkEnd w:id="128"/>
    </w:tbl>
    <w:p w:rsidR="0088150A" w:rsidRPr="00E312E8" w:rsidRDefault="0088150A" w:rsidP="002D1CC7"/>
    <w:p w:rsidR="0088150A" w:rsidRPr="00C10A99" w:rsidRDefault="0088150A" w:rsidP="002D1CC7">
      <w:pPr>
        <w:pStyle w:val="Heading2"/>
        <w:keepLines/>
      </w:pPr>
      <w:bookmarkStart w:id="129" w:name="_Toc421026471"/>
      <w:bookmarkStart w:id="130" w:name="_Toc517090899"/>
      <w:bookmarkStart w:id="131" w:name="_Toc530487407"/>
      <w:bookmarkStart w:id="132" w:name="_Toc9239600"/>
      <w:r w:rsidRPr="00C10A99">
        <w:lastRenderedPageBreak/>
        <w:t>Align</w:t>
      </w:r>
      <w:r>
        <w:t>ing</w:t>
      </w:r>
      <w:r w:rsidRPr="00C10A99">
        <w:t xml:space="preserve"> the strategy with </w:t>
      </w:r>
      <w:r w:rsidR="00331D74">
        <w:t>‘Ala</w:t>
      </w:r>
      <w:r w:rsidRPr="004A0A4D">
        <w:t> Mo</w:t>
      </w:r>
      <w:r w:rsidR="00A10EC0">
        <w:t>’</w:t>
      </w:r>
      <w:r w:rsidRPr="004A0A4D">
        <w:t>ui: Pathways</w:t>
      </w:r>
      <w:r>
        <w:t xml:space="preserve"> </w:t>
      </w:r>
      <w:r w:rsidRPr="004A0A4D">
        <w:t>to</w:t>
      </w:r>
      <w:r>
        <w:t xml:space="preserve"> </w:t>
      </w:r>
      <w:r w:rsidRPr="004A0A4D">
        <w:t>Pacific</w:t>
      </w:r>
      <w:r>
        <w:t xml:space="preserve"> </w:t>
      </w:r>
      <w:r w:rsidRPr="004A0A4D">
        <w:t>Health and</w:t>
      </w:r>
      <w:r>
        <w:t xml:space="preserve"> </w:t>
      </w:r>
      <w:r w:rsidRPr="004A0A4D">
        <w:t>Wellbeing</w:t>
      </w:r>
      <w:bookmarkEnd w:id="129"/>
      <w:r w:rsidR="002D1CC7">
        <w:br/>
      </w:r>
      <w:r w:rsidRPr="004A0A4D">
        <w:t>2014–2018</w:t>
      </w:r>
      <w:bookmarkEnd w:id="130"/>
      <w:bookmarkEnd w:id="131"/>
      <w:bookmarkEnd w:id="132"/>
    </w:p>
    <w:p w:rsidR="0088150A" w:rsidRDefault="004354CD" w:rsidP="0088150A">
      <w:hyperlink r:id="rId43" w:history="1">
        <w:r w:rsidR="00331D74">
          <w:rPr>
            <w:rFonts w:eastAsia="MS Gothic"/>
            <w:i/>
          </w:rPr>
          <w:t>‘Ala</w:t>
        </w:r>
        <w:r w:rsidR="0088150A" w:rsidRPr="00331D74">
          <w:rPr>
            <w:rFonts w:eastAsia="MS Gothic"/>
            <w:i/>
          </w:rPr>
          <w:t xml:space="preserve"> Mo</w:t>
        </w:r>
        <w:r w:rsidR="00A10EC0" w:rsidRPr="00331D74">
          <w:rPr>
            <w:i/>
          </w:rPr>
          <w:t>’</w:t>
        </w:r>
        <w:r w:rsidR="0088150A" w:rsidRPr="00331D74">
          <w:rPr>
            <w:rFonts w:eastAsia="MS Gothic"/>
            <w:i/>
          </w:rPr>
          <w:t>ui: Pathways to Pacific Health and Wellbeing 2014–2018</w:t>
        </w:r>
      </w:hyperlink>
      <w:r w:rsidR="0088150A" w:rsidRPr="00E312E8">
        <w:rPr>
          <w:i/>
        </w:rPr>
        <w:t xml:space="preserve"> </w:t>
      </w:r>
      <w:r w:rsidR="0088150A" w:rsidRPr="00E312E8">
        <w:t xml:space="preserve">is the </w:t>
      </w:r>
      <w:r w:rsidR="0088150A">
        <w:t>g</w:t>
      </w:r>
      <w:r w:rsidR="0088150A" w:rsidRPr="00E312E8">
        <w:t>overnment</w:t>
      </w:r>
      <w:r w:rsidR="00A10EC0">
        <w:t>’</w:t>
      </w:r>
      <w:r w:rsidR="0088150A" w:rsidRPr="00E312E8">
        <w:t>s plan for improving health outcomes for Pacific peoples</w:t>
      </w:r>
      <w:r w:rsidR="0088150A">
        <w:t xml:space="preserve"> (Ministry of Health 2014a)</w:t>
      </w:r>
      <w:r w:rsidR="0088150A" w:rsidRPr="00E312E8">
        <w:t xml:space="preserve">. The long-term vision of </w:t>
      </w:r>
      <w:r w:rsidR="00331D74">
        <w:t>‘Ala</w:t>
      </w:r>
      <w:r w:rsidR="0088150A" w:rsidRPr="007B36FF">
        <w:t xml:space="preserve"> Mo</w:t>
      </w:r>
      <w:r w:rsidR="00A10EC0">
        <w:t>’</w:t>
      </w:r>
      <w:r w:rsidR="0088150A" w:rsidRPr="007B36FF">
        <w:t>ui</w:t>
      </w:r>
      <w:r w:rsidR="0088150A" w:rsidRPr="00C10A99">
        <w:t xml:space="preserve"> is that</w:t>
      </w:r>
      <w:r w:rsidR="0088150A">
        <w:t xml:space="preserve">: </w:t>
      </w:r>
      <w:r w:rsidR="00A10EC0">
        <w:t>‘</w:t>
      </w:r>
      <w:r w:rsidR="0088150A" w:rsidRPr="00C10A99">
        <w:t xml:space="preserve">Pacific </w:t>
      </w:r>
      <w:r w:rsidR="00A10EC0">
        <w:t>‘</w:t>
      </w:r>
      <w:r w:rsidR="0088150A">
        <w:t>ā</w:t>
      </w:r>
      <w:r w:rsidR="0088150A" w:rsidRPr="00C10A99">
        <w:t>iga, kāiga, magafaoa, kōpū tangata, vuvale and fāmili experience equitable health outcomes and lead independent lives</w:t>
      </w:r>
      <w:r w:rsidR="00A10EC0">
        <w:t>’</w:t>
      </w:r>
      <w:r w:rsidR="0088150A">
        <w:t xml:space="preserve"> (page 1)</w:t>
      </w:r>
      <w:r w:rsidR="0088150A" w:rsidRPr="00C10A99">
        <w:t xml:space="preserve">. Figure </w:t>
      </w:r>
      <w:r w:rsidR="0088150A">
        <w:t>6</w:t>
      </w:r>
      <w:r w:rsidR="0088150A" w:rsidRPr="00C10A99">
        <w:t xml:space="preserve"> summarises the 2014 (most recent) version of </w:t>
      </w:r>
      <w:r w:rsidR="00331D74">
        <w:t>‘Ala</w:t>
      </w:r>
      <w:r w:rsidR="0088150A" w:rsidRPr="007B36FF">
        <w:t xml:space="preserve"> Mo</w:t>
      </w:r>
      <w:r w:rsidR="00A10EC0">
        <w:t>’</w:t>
      </w:r>
      <w:r w:rsidR="0088150A" w:rsidRPr="007B36FF">
        <w:t>ui</w:t>
      </w:r>
      <w:r w:rsidR="0088150A" w:rsidRPr="00C10A99">
        <w:t>.</w:t>
      </w:r>
    </w:p>
    <w:p w:rsidR="0088150A" w:rsidRPr="00C10A99" w:rsidRDefault="0088150A" w:rsidP="0088150A"/>
    <w:p w:rsidR="0088150A" w:rsidRPr="00C10A99" w:rsidRDefault="0088150A" w:rsidP="0088150A">
      <w:r w:rsidRPr="00C10A99">
        <w:t xml:space="preserve">The Ministry has aligned the </w:t>
      </w:r>
      <w:r>
        <w:t>s</w:t>
      </w:r>
      <w:r w:rsidRPr="00C10A99">
        <w:t xml:space="preserve">trategic plan with </w:t>
      </w:r>
      <w:r w:rsidR="00331D74">
        <w:t>‘Ala</w:t>
      </w:r>
      <w:r w:rsidRPr="007B36FF">
        <w:t xml:space="preserve"> Mo</w:t>
      </w:r>
      <w:r w:rsidR="00A10EC0">
        <w:t>’</w:t>
      </w:r>
      <w:r w:rsidRPr="007B36FF">
        <w:t>ui</w:t>
      </w:r>
      <w:r w:rsidRPr="00C10A99">
        <w:t>, in acknowledgement that the strategy to prevent and minimise gambling harm contributes to the achievement of health equity for all Pacific peoples in New Zealand.</w:t>
      </w:r>
    </w:p>
    <w:p w:rsidR="0088150A" w:rsidRPr="00C10A99" w:rsidRDefault="0088150A" w:rsidP="0088150A"/>
    <w:p w:rsidR="0088150A" w:rsidRPr="00BC3003" w:rsidRDefault="0088150A" w:rsidP="005A26D2">
      <w:pPr>
        <w:pStyle w:val="Figure"/>
      </w:pPr>
      <w:bookmarkStart w:id="133" w:name="_Toc514139886"/>
      <w:bookmarkStart w:id="134" w:name="_Toc516836148"/>
      <w:bookmarkStart w:id="135" w:name="_Toc529428321"/>
      <w:bookmarkStart w:id="136" w:name="_Toc4156648"/>
      <w:bookmarkStart w:id="137" w:name="_Toc7680402"/>
      <w:r w:rsidRPr="00227DDB">
        <w:t xml:space="preserve">Figure </w:t>
      </w:r>
      <w:r w:rsidR="004F666E">
        <w:rPr>
          <w:noProof/>
        </w:rPr>
        <w:fldChar w:fldCharType="begin"/>
      </w:r>
      <w:r w:rsidR="004F666E">
        <w:rPr>
          <w:noProof/>
        </w:rPr>
        <w:instrText xml:space="preserve"> SEQ Figure \* ARABIC </w:instrText>
      </w:r>
      <w:r w:rsidR="004F666E">
        <w:rPr>
          <w:noProof/>
        </w:rPr>
        <w:fldChar w:fldCharType="separate"/>
      </w:r>
      <w:r w:rsidR="0002049A">
        <w:rPr>
          <w:noProof/>
        </w:rPr>
        <w:t>6</w:t>
      </w:r>
      <w:r w:rsidR="004F666E">
        <w:rPr>
          <w:noProof/>
        </w:rPr>
        <w:fldChar w:fldCharType="end"/>
      </w:r>
      <w:r w:rsidRPr="00BC3003">
        <w:t xml:space="preserve">: </w:t>
      </w:r>
      <w:r>
        <w:t xml:space="preserve">Summary </w:t>
      </w:r>
      <w:r w:rsidRPr="00BC3003">
        <w:t xml:space="preserve">of </w:t>
      </w:r>
      <w:r w:rsidR="00331D74">
        <w:t>‘Ala</w:t>
      </w:r>
      <w:r w:rsidRPr="00BC3003">
        <w:t xml:space="preserve"> Mo</w:t>
      </w:r>
      <w:r w:rsidR="00A10EC0">
        <w:t>’</w:t>
      </w:r>
      <w:r w:rsidRPr="00BC3003">
        <w:t>ui</w:t>
      </w:r>
      <w:bookmarkEnd w:id="133"/>
      <w:bookmarkEnd w:id="134"/>
      <w:bookmarkEnd w:id="135"/>
      <w:bookmarkEnd w:id="136"/>
      <w:bookmarkEnd w:id="137"/>
    </w:p>
    <w:p w:rsidR="0088150A" w:rsidRDefault="0088150A" w:rsidP="0088150A">
      <w:r w:rsidRPr="00E312E8">
        <w:rPr>
          <w:noProof/>
          <w:lang w:eastAsia="en-NZ"/>
        </w:rPr>
        <w:drawing>
          <wp:inline distT="0" distB="0" distL="0" distR="0" wp14:anchorId="4C8C576C" wp14:editId="3F02B8E7">
            <wp:extent cx="4545885" cy="4997003"/>
            <wp:effectExtent l="0" t="0" r="7620" b="0"/>
            <wp:docPr id="4" name="Picture 236" title="Figure 6: Summary of ‘Ala M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rotWithShape="1">
                    <a:blip r:embed="rId44">
                      <a:grayscl/>
                      <a:extLst>
                        <a:ext uri="{28A0092B-C50C-407E-A947-70E740481C1C}">
                          <a14:useLocalDpi xmlns:a14="http://schemas.microsoft.com/office/drawing/2010/main" val="0"/>
                        </a:ext>
                      </a:extLst>
                    </a:blip>
                    <a:srcRect l="982" t="595" b="835"/>
                    <a:stretch/>
                  </pic:blipFill>
                  <pic:spPr bwMode="auto">
                    <a:xfrm>
                      <a:off x="0" y="0"/>
                      <a:ext cx="4550702" cy="5002298"/>
                    </a:xfrm>
                    <a:prstGeom prst="rect">
                      <a:avLst/>
                    </a:prstGeom>
                    <a:noFill/>
                    <a:ln>
                      <a:noFill/>
                    </a:ln>
                    <a:extLst>
                      <a:ext uri="{53640926-AAD7-44D8-BBD7-CCE9431645EC}">
                        <a14:shadowObscured xmlns:a14="http://schemas.microsoft.com/office/drawing/2010/main"/>
                      </a:ext>
                    </a:extLst>
                  </pic:spPr>
                </pic:pic>
              </a:graphicData>
            </a:graphic>
          </wp:inline>
        </w:drawing>
      </w:r>
    </w:p>
    <w:p w:rsidR="0088150A" w:rsidRPr="00E312E8" w:rsidRDefault="0088150A" w:rsidP="00331D74"/>
    <w:p w:rsidR="0088150A" w:rsidRDefault="0088150A" w:rsidP="00331D74">
      <w:pPr>
        <w:pStyle w:val="Table"/>
      </w:pPr>
      <w:bookmarkStart w:id="138" w:name="_Toc514838701"/>
      <w:bookmarkStart w:id="139" w:name="_Toc517091238"/>
      <w:bookmarkStart w:id="140" w:name="_Toc530487436"/>
      <w:bookmarkStart w:id="141" w:name="_Toc4156631"/>
      <w:bookmarkStart w:id="142" w:name="_Toc8398931"/>
      <w:bookmarkStart w:id="143" w:name="_Toc422409751"/>
      <w:r w:rsidRPr="00C10A99">
        <w:lastRenderedPageBreak/>
        <w:t xml:space="preserve">Table </w:t>
      </w:r>
      <w:r w:rsidRPr="007F7BB3">
        <w:fldChar w:fldCharType="begin"/>
      </w:r>
      <w:r w:rsidRPr="00C10A99">
        <w:instrText xml:space="preserve"> SEQ Table \* ARABIC </w:instrText>
      </w:r>
      <w:r w:rsidRPr="007F7BB3">
        <w:fldChar w:fldCharType="separate"/>
      </w:r>
      <w:r w:rsidR="0002049A">
        <w:rPr>
          <w:noProof/>
        </w:rPr>
        <w:t>13</w:t>
      </w:r>
      <w:r w:rsidRPr="007F7BB3">
        <w:fldChar w:fldCharType="end"/>
      </w:r>
      <w:r w:rsidRPr="00C10A99">
        <w:t>: Align</w:t>
      </w:r>
      <w:r>
        <w:t>ing</w:t>
      </w:r>
      <w:r w:rsidRPr="00C10A99">
        <w:t xml:space="preserve"> the strategy with </w:t>
      </w:r>
      <w:r w:rsidR="00331D74">
        <w:t>‘Ala</w:t>
      </w:r>
      <w:r w:rsidRPr="00C10A99">
        <w:t xml:space="preserve"> Mo</w:t>
      </w:r>
      <w:r w:rsidR="00A10EC0">
        <w:t>’</w:t>
      </w:r>
      <w:r w:rsidRPr="00C10A99">
        <w:t>ui</w:t>
      </w:r>
      <w:bookmarkEnd w:id="138"/>
      <w:bookmarkEnd w:id="139"/>
      <w:bookmarkEnd w:id="140"/>
      <w:bookmarkEnd w:id="141"/>
      <w:bookmarkEnd w:id="142"/>
    </w:p>
    <w:tbl>
      <w:tblPr>
        <w:tblW w:w="4940" w:type="pct"/>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1957"/>
        <w:gridCol w:w="6025"/>
      </w:tblGrid>
      <w:tr w:rsidR="0088150A" w:rsidRPr="00331D74" w:rsidTr="0062363F">
        <w:trPr>
          <w:cantSplit/>
          <w:tblHeader/>
        </w:trPr>
        <w:tc>
          <w:tcPr>
            <w:tcW w:w="1226" w:type="pct"/>
            <w:tcBorders>
              <w:top w:val="nil"/>
              <w:bottom w:val="nil"/>
            </w:tcBorders>
            <w:shd w:val="clear" w:color="auto" w:fill="D9D9D9" w:themeFill="background1" w:themeFillShade="D9"/>
            <w:noWrap/>
          </w:tcPr>
          <w:bookmarkEnd w:id="143"/>
          <w:p w:rsidR="0088150A" w:rsidRPr="00331D74" w:rsidRDefault="00331D74" w:rsidP="00331D74">
            <w:pPr>
              <w:pStyle w:val="TableText"/>
              <w:keepNext/>
              <w:rPr>
                <w:b/>
                <w:lang w:eastAsia="en-US"/>
              </w:rPr>
            </w:pPr>
            <w:r w:rsidRPr="00331D74">
              <w:rPr>
                <w:b/>
                <w:lang w:eastAsia="en-US"/>
              </w:rPr>
              <w:t>‘Ala</w:t>
            </w:r>
            <w:r w:rsidR="0088150A" w:rsidRPr="00331D74">
              <w:rPr>
                <w:b/>
                <w:lang w:eastAsia="en-US"/>
              </w:rPr>
              <w:t xml:space="preserve"> Mo</w:t>
            </w:r>
            <w:r w:rsidR="00A10EC0" w:rsidRPr="00331D74">
              <w:rPr>
                <w:b/>
                <w:lang w:eastAsia="en-US"/>
              </w:rPr>
              <w:t>’</w:t>
            </w:r>
            <w:r w:rsidR="0088150A" w:rsidRPr="00331D74">
              <w:rPr>
                <w:b/>
                <w:lang w:eastAsia="en-US"/>
              </w:rPr>
              <w:t>ui</w:t>
            </w:r>
          </w:p>
        </w:tc>
        <w:tc>
          <w:tcPr>
            <w:tcW w:w="3774" w:type="pct"/>
            <w:tcBorders>
              <w:top w:val="nil"/>
              <w:bottom w:val="nil"/>
            </w:tcBorders>
            <w:shd w:val="clear" w:color="auto" w:fill="D9D9D9" w:themeFill="background1" w:themeFillShade="D9"/>
            <w:noWrap/>
          </w:tcPr>
          <w:p w:rsidR="0088150A" w:rsidRPr="00331D74" w:rsidRDefault="0088150A" w:rsidP="00331D74">
            <w:pPr>
              <w:pStyle w:val="TableText"/>
              <w:keepNext/>
              <w:rPr>
                <w:b/>
                <w:lang w:eastAsia="en-US"/>
              </w:rPr>
            </w:pPr>
            <w:r w:rsidRPr="00331D74">
              <w:rPr>
                <w:b/>
                <w:lang w:eastAsia="en-US"/>
              </w:rPr>
              <w:t>Examples of the strategy</w:t>
            </w:r>
            <w:r w:rsidR="00A10EC0" w:rsidRPr="00331D74">
              <w:rPr>
                <w:b/>
                <w:lang w:eastAsia="en-US"/>
              </w:rPr>
              <w:t>’</w:t>
            </w:r>
            <w:r w:rsidRPr="00331D74">
              <w:rPr>
                <w:b/>
                <w:lang w:eastAsia="en-US"/>
              </w:rPr>
              <w:t>s alignment</w:t>
            </w:r>
          </w:p>
        </w:tc>
      </w:tr>
      <w:tr w:rsidR="0088150A" w:rsidRPr="00331D74" w:rsidTr="00331D74">
        <w:trPr>
          <w:cantSplit/>
        </w:trPr>
        <w:tc>
          <w:tcPr>
            <w:tcW w:w="1226" w:type="pct"/>
            <w:tcBorders>
              <w:top w:val="nil"/>
            </w:tcBorders>
            <w:shd w:val="clear" w:color="auto" w:fill="auto"/>
            <w:noWrap/>
          </w:tcPr>
          <w:p w:rsidR="0088150A" w:rsidRPr="00331D74" w:rsidRDefault="0088150A" w:rsidP="00331D74">
            <w:pPr>
              <w:pStyle w:val="TableText"/>
              <w:keepNext/>
              <w:rPr>
                <w:b/>
                <w:lang w:eastAsia="en-US"/>
              </w:rPr>
            </w:pPr>
            <w:r w:rsidRPr="00331D74">
              <w:rPr>
                <w:b/>
                <w:lang w:eastAsia="en-US"/>
              </w:rPr>
              <w:t>Overall aim</w:t>
            </w:r>
          </w:p>
        </w:tc>
        <w:tc>
          <w:tcPr>
            <w:tcW w:w="3774" w:type="pct"/>
            <w:tcBorders>
              <w:top w:val="nil"/>
            </w:tcBorders>
            <w:shd w:val="clear" w:color="auto" w:fill="auto"/>
            <w:noWrap/>
          </w:tcPr>
          <w:p w:rsidR="0088150A" w:rsidRPr="00331D74" w:rsidRDefault="0088150A" w:rsidP="00331D74">
            <w:pPr>
              <w:pStyle w:val="TableText"/>
              <w:keepNext/>
              <w:rPr>
                <w:b/>
                <w:lang w:eastAsia="en-US"/>
              </w:rPr>
            </w:pPr>
          </w:p>
        </w:tc>
      </w:tr>
      <w:tr w:rsidR="0088150A" w:rsidRPr="00C10A99" w:rsidTr="00331D74">
        <w:trPr>
          <w:cantSplit/>
        </w:trPr>
        <w:tc>
          <w:tcPr>
            <w:tcW w:w="1226" w:type="pct"/>
            <w:tcBorders>
              <w:bottom w:val="single" w:sz="4" w:space="0" w:color="A6A6A6" w:themeColor="background1" w:themeShade="A6"/>
            </w:tcBorders>
            <w:shd w:val="clear" w:color="auto" w:fill="auto"/>
            <w:noWrap/>
          </w:tcPr>
          <w:p w:rsidR="0088150A" w:rsidRPr="00EB1F02" w:rsidRDefault="0088150A" w:rsidP="00331D74">
            <w:pPr>
              <w:pStyle w:val="TableText"/>
              <w:keepNext/>
              <w:rPr>
                <w:lang w:eastAsia="en-US"/>
              </w:rPr>
            </w:pPr>
            <w:r w:rsidRPr="00EB1F02">
              <w:rPr>
                <w:lang w:eastAsia="en-US"/>
              </w:rPr>
              <w:t>Health equity for all Pacific peoples</w:t>
            </w:r>
          </w:p>
        </w:tc>
        <w:tc>
          <w:tcPr>
            <w:tcW w:w="3774" w:type="pct"/>
            <w:tcBorders>
              <w:bottom w:val="single" w:sz="4" w:space="0" w:color="A6A6A6" w:themeColor="background1" w:themeShade="A6"/>
            </w:tcBorders>
            <w:shd w:val="clear" w:color="auto" w:fill="auto"/>
            <w:noWrap/>
          </w:tcPr>
          <w:p w:rsidR="0088150A" w:rsidRPr="00EB1F02" w:rsidRDefault="0088150A" w:rsidP="00331D74">
            <w:pPr>
              <w:pStyle w:val="TableText"/>
              <w:keepNext/>
              <w:rPr>
                <w:lang w:eastAsia="en-US"/>
              </w:rPr>
            </w:pPr>
            <w:r w:rsidRPr="00EB1F02">
              <w:rPr>
                <w:rFonts w:eastAsia="Arial Unicode MS"/>
              </w:rPr>
              <w:t>Overall goal of the strategy – entails a reduction in health inequities related to gambling harm</w:t>
            </w:r>
          </w:p>
          <w:p w:rsidR="0088150A" w:rsidRPr="00EB1F02" w:rsidRDefault="0088150A" w:rsidP="00331D74">
            <w:pPr>
              <w:pStyle w:val="TableText"/>
              <w:keepNext/>
              <w:rPr>
                <w:lang w:eastAsia="en-US"/>
              </w:rPr>
            </w:pPr>
            <w:r w:rsidRPr="00EB1F02">
              <w:rPr>
                <w:rFonts w:eastAsia="Arial Unicode MS"/>
              </w:rPr>
              <w:t>Principles underpinning the strategy – reduce health inequities</w:t>
            </w:r>
          </w:p>
          <w:p w:rsidR="0088150A" w:rsidRPr="00EB1F02" w:rsidRDefault="0088150A" w:rsidP="00331D74">
            <w:pPr>
              <w:pStyle w:val="TableText"/>
              <w:keepNext/>
              <w:rPr>
                <w:lang w:eastAsia="en-US"/>
              </w:rPr>
            </w:pPr>
            <w:r w:rsidRPr="00EB1F02">
              <w:rPr>
                <w:rFonts w:eastAsia="Arial Unicode MS"/>
              </w:rPr>
              <w:t>Objective 1 – a specific health equity objective</w:t>
            </w:r>
          </w:p>
          <w:p w:rsidR="0088150A" w:rsidRPr="00EB1F02" w:rsidRDefault="0088150A" w:rsidP="00331D74">
            <w:pPr>
              <w:pStyle w:val="TableText"/>
              <w:keepNext/>
              <w:rPr>
                <w:rFonts w:eastAsia="Arial Unicode MS"/>
              </w:rPr>
            </w:pPr>
            <w:r w:rsidRPr="00EB1F02">
              <w:rPr>
                <w:rFonts w:eastAsia="Arial Unicode MS"/>
              </w:rPr>
              <w:t>Planning and prioritisation processes – mapping need based on population-specific prevalence and access rates</w:t>
            </w:r>
          </w:p>
        </w:tc>
      </w:tr>
      <w:tr w:rsidR="0088150A" w:rsidRPr="00331D74" w:rsidTr="00331D74">
        <w:trPr>
          <w:cantSplit/>
        </w:trPr>
        <w:tc>
          <w:tcPr>
            <w:tcW w:w="1226" w:type="pct"/>
            <w:tcBorders>
              <w:top w:val="single" w:sz="4" w:space="0" w:color="A6A6A6" w:themeColor="background1" w:themeShade="A6"/>
              <w:bottom w:val="single" w:sz="4" w:space="0" w:color="A6A6A6" w:themeColor="background1" w:themeShade="A6"/>
            </w:tcBorders>
            <w:shd w:val="clear" w:color="auto" w:fill="auto"/>
            <w:noWrap/>
          </w:tcPr>
          <w:p w:rsidR="0088150A" w:rsidRPr="00331D74" w:rsidRDefault="0088150A" w:rsidP="00331D74">
            <w:pPr>
              <w:pStyle w:val="TableText"/>
              <w:keepNext/>
              <w:rPr>
                <w:b/>
                <w:lang w:eastAsia="en-US"/>
              </w:rPr>
            </w:pPr>
            <w:r w:rsidRPr="00331D74">
              <w:rPr>
                <w:b/>
                <w:lang w:eastAsia="en-US"/>
              </w:rPr>
              <w:t>Pacific principles</w:t>
            </w:r>
          </w:p>
        </w:tc>
        <w:tc>
          <w:tcPr>
            <w:tcW w:w="3774" w:type="pct"/>
            <w:tcBorders>
              <w:top w:val="single" w:sz="4" w:space="0" w:color="A6A6A6" w:themeColor="background1" w:themeShade="A6"/>
              <w:bottom w:val="single" w:sz="4" w:space="0" w:color="A6A6A6" w:themeColor="background1" w:themeShade="A6"/>
            </w:tcBorders>
            <w:shd w:val="clear" w:color="auto" w:fill="auto"/>
            <w:noWrap/>
          </w:tcPr>
          <w:p w:rsidR="0088150A" w:rsidRPr="00331D74" w:rsidRDefault="0088150A" w:rsidP="00331D74">
            <w:pPr>
              <w:pStyle w:val="TableText"/>
              <w:keepNext/>
              <w:rPr>
                <w:b/>
                <w:lang w:eastAsia="en-US"/>
              </w:rPr>
            </w:pPr>
          </w:p>
        </w:tc>
      </w:tr>
      <w:tr w:rsidR="0088150A" w:rsidRPr="00C10A99" w:rsidTr="00331D74">
        <w:trPr>
          <w:cantSplit/>
        </w:trPr>
        <w:tc>
          <w:tcPr>
            <w:tcW w:w="1226" w:type="pct"/>
            <w:tcBorders>
              <w:top w:val="single" w:sz="4" w:space="0" w:color="A6A6A6" w:themeColor="background1" w:themeShade="A6"/>
            </w:tcBorders>
            <w:shd w:val="clear" w:color="auto" w:fill="auto"/>
            <w:noWrap/>
          </w:tcPr>
          <w:p w:rsidR="0088150A" w:rsidRPr="00EB1F02" w:rsidRDefault="0088150A" w:rsidP="00331D74">
            <w:pPr>
              <w:pStyle w:val="TableText"/>
              <w:rPr>
                <w:lang w:eastAsia="en-US"/>
              </w:rPr>
            </w:pPr>
            <w:r w:rsidRPr="00EB1F02">
              <w:rPr>
                <w:lang w:eastAsia="en-US"/>
              </w:rPr>
              <w:t>Respecting Pacific culture</w:t>
            </w:r>
          </w:p>
        </w:tc>
        <w:tc>
          <w:tcPr>
            <w:tcW w:w="3774" w:type="pct"/>
            <w:tcBorders>
              <w:top w:val="single" w:sz="4" w:space="0" w:color="A6A6A6" w:themeColor="background1" w:themeShade="A6"/>
            </w:tcBorders>
            <w:shd w:val="clear" w:color="auto" w:fill="auto"/>
            <w:noWrap/>
          </w:tcPr>
          <w:p w:rsidR="0088150A" w:rsidRPr="00EB1F02" w:rsidRDefault="0088150A" w:rsidP="00331D74">
            <w:pPr>
              <w:pStyle w:val="TableText"/>
              <w:rPr>
                <w:rFonts w:eastAsia="Arial Unicode MS"/>
              </w:rPr>
            </w:pPr>
            <w:r w:rsidRPr="00EB1F02">
              <w:rPr>
                <w:rFonts w:eastAsia="Arial Unicode MS"/>
              </w:rPr>
              <w:t>Objectives 5 and 7 and public health service specification purchase unit 4 (aware communities)</w:t>
            </w:r>
          </w:p>
          <w:p w:rsidR="0088150A" w:rsidRPr="00EB1F02" w:rsidRDefault="0088150A" w:rsidP="00331D74">
            <w:pPr>
              <w:pStyle w:val="TableText"/>
              <w:rPr>
                <w:rFonts w:eastAsia="Arial Unicode MS"/>
              </w:rPr>
            </w:pPr>
            <w:r w:rsidRPr="00EB1F02">
              <w:rPr>
                <w:rFonts w:eastAsia="Arial Unicode MS"/>
              </w:rPr>
              <w:t>Public health service specification purchase unit 3 (supportive communities)</w:t>
            </w:r>
          </w:p>
          <w:p w:rsidR="0088150A" w:rsidRPr="00EB1F02" w:rsidRDefault="0088150A" w:rsidP="00331D74">
            <w:pPr>
              <w:pStyle w:val="TableText"/>
              <w:rPr>
                <w:rFonts w:eastAsia="Arial Unicode MS"/>
              </w:rPr>
            </w:pPr>
            <w:r w:rsidRPr="00EB1F02">
              <w:rPr>
                <w:rFonts w:eastAsia="Arial Unicode MS"/>
              </w:rPr>
              <w:t>Requirements for general services –</w:t>
            </w:r>
            <w:r>
              <w:rPr>
                <w:rFonts w:eastAsia="Arial Unicode MS"/>
              </w:rPr>
              <w:t xml:space="preserve"> </w:t>
            </w:r>
            <w:r w:rsidRPr="00EB1F02">
              <w:rPr>
                <w:rFonts w:eastAsia="Arial Unicode MS"/>
              </w:rPr>
              <w:t>meeting cultural needs of service users and supporting them to access dedicated Pacific services where available</w:t>
            </w:r>
          </w:p>
        </w:tc>
      </w:tr>
      <w:tr w:rsidR="0088150A" w:rsidRPr="00C10A99" w:rsidTr="00331D74">
        <w:trPr>
          <w:cantSplit/>
        </w:trPr>
        <w:tc>
          <w:tcPr>
            <w:tcW w:w="1226" w:type="pct"/>
            <w:shd w:val="clear" w:color="auto" w:fill="auto"/>
            <w:noWrap/>
          </w:tcPr>
          <w:p w:rsidR="0088150A" w:rsidRPr="00EB1F02" w:rsidRDefault="0088150A" w:rsidP="00331D74">
            <w:pPr>
              <w:pStyle w:val="TableText"/>
              <w:rPr>
                <w:lang w:eastAsia="en-US"/>
              </w:rPr>
            </w:pPr>
            <w:r>
              <w:rPr>
                <w:lang w:eastAsia="en-US"/>
              </w:rPr>
              <w:t xml:space="preserve">Valuing Pacific </w:t>
            </w:r>
            <w:r w:rsidR="00A10EC0">
              <w:t>‘</w:t>
            </w:r>
            <w:r w:rsidRPr="00D528A0">
              <w:t>āiga, kāiga, magafaoa, kōpū tangata, vuvale and fāmili</w:t>
            </w:r>
          </w:p>
        </w:tc>
        <w:tc>
          <w:tcPr>
            <w:tcW w:w="3774" w:type="pct"/>
            <w:shd w:val="clear" w:color="auto" w:fill="auto"/>
            <w:noWrap/>
          </w:tcPr>
          <w:p w:rsidR="0088150A" w:rsidRPr="00EB1F02" w:rsidRDefault="0088150A" w:rsidP="00331D74">
            <w:pPr>
              <w:pStyle w:val="TableText"/>
              <w:rPr>
                <w:rFonts w:eastAsia="Arial Unicode MS"/>
              </w:rPr>
            </w:pPr>
            <w:r w:rsidRPr="00EB1F02">
              <w:rPr>
                <w:rFonts w:eastAsia="Arial Unicode MS"/>
              </w:rPr>
              <w:t>Objectives 5 and 7 and public health service specification purchase unit 4 (aware communities)</w:t>
            </w:r>
          </w:p>
          <w:p w:rsidR="0088150A" w:rsidRPr="00EB1F02" w:rsidRDefault="0088150A" w:rsidP="00331D74">
            <w:pPr>
              <w:pStyle w:val="TableText"/>
              <w:rPr>
                <w:rFonts w:eastAsia="Arial Unicode MS"/>
              </w:rPr>
            </w:pPr>
            <w:r w:rsidRPr="00EB1F02">
              <w:rPr>
                <w:rFonts w:eastAsia="Arial Unicode MS"/>
              </w:rPr>
              <w:t>Public health service specification purchase unit 3 (supportive communities)</w:t>
            </w:r>
          </w:p>
          <w:p w:rsidR="0088150A" w:rsidRPr="00EB1F02" w:rsidRDefault="0088150A" w:rsidP="00331D74">
            <w:pPr>
              <w:pStyle w:val="TableText"/>
              <w:rPr>
                <w:rFonts w:eastAsia="Arial Unicode MS"/>
              </w:rPr>
            </w:pPr>
            <w:r w:rsidRPr="00EB1F02">
              <w:rPr>
                <w:rFonts w:eastAsia="Arial Unicode MS"/>
              </w:rPr>
              <w:t>Free intervention services for families</w:t>
            </w:r>
          </w:p>
        </w:tc>
      </w:tr>
      <w:tr w:rsidR="0088150A" w:rsidRPr="00C10A99" w:rsidTr="00331D74">
        <w:trPr>
          <w:cantSplit/>
        </w:trPr>
        <w:tc>
          <w:tcPr>
            <w:tcW w:w="1226" w:type="pct"/>
            <w:shd w:val="clear" w:color="auto" w:fill="auto"/>
            <w:noWrap/>
          </w:tcPr>
          <w:p w:rsidR="0088150A" w:rsidRPr="00EB1F02" w:rsidRDefault="00205A7B" w:rsidP="00205A7B">
            <w:pPr>
              <w:pStyle w:val="TableText"/>
              <w:rPr>
                <w:lang w:eastAsia="en-US"/>
              </w:rPr>
            </w:pPr>
            <w:r>
              <w:rPr>
                <w:lang w:eastAsia="en-US"/>
              </w:rPr>
              <w:t>High q</w:t>
            </w:r>
            <w:r w:rsidR="0088150A" w:rsidRPr="00EB1F02">
              <w:rPr>
                <w:lang w:eastAsia="en-US"/>
              </w:rPr>
              <w:t>uality health care</w:t>
            </w:r>
          </w:p>
        </w:tc>
        <w:tc>
          <w:tcPr>
            <w:tcW w:w="3774" w:type="pct"/>
            <w:shd w:val="clear" w:color="auto" w:fill="auto"/>
            <w:noWrap/>
          </w:tcPr>
          <w:p w:rsidR="0088150A" w:rsidRPr="00EB1F02" w:rsidRDefault="0088150A" w:rsidP="00331D74">
            <w:pPr>
              <w:pStyle w:val="TableText"/>
              <w:rPr>
                <w:lang w:eastAsia="en-US"/>
              </w:rPr>
            </w:pPr>
            <w:r w:rsidRPr="00EB1F02">
              <w:rPr>
                <w:rFonts w:eastAsia="Arial Unicode MS"/>
              </w:rPr>
              <w:t>Free intervention services for individuals and families</w:t>
            </w:r>
          </w:p>
          <w:p w:rsidR="0088150A" w:rsidRPr="00EB1F02" w:rsidRDefault="0088150A" w:rsidP="00331D74">
            <w:pPr>
              <w:pStyle w:val="TableText"/>
              <w:rPr>
                <w:lang w:eastAsia="en-US"/>
              </w:rPr>
            </w:pPr>
            <w:r w:rsidRPr="00EB1F02">
              <w:rPr>
                <w:rFonts w:eastAsia="Arial Unicode MS"/>
              </w:rPr>
              <w:t>Overall goal of the strategy, principles underpinning the strategy and objective 1</w:t>
            </w:r>
          </w:p>
          <w:p w:rsidR="0088150A" w:rsidRPr="00EB1F02" w:rsidRDefault="0088150A" w:rsidP="00331D74">
            <w:pPr>
              <w:pStyle w:val="TableText"/>
              <w:rPr>
                <w:rFonts w:cs="Arial"/>
              </w:rPr>
            </w:pPr>
            <w:r w:rsidRPr="00EB1F02">
              <w:rPr>
                <w:rFonts w:cs="Arial"/>
              </w:rPr>
              <w:t xml:space="preserve">Dedicated Pacific services and requirements for </w:t>
            </w:r>
            <w:r w:rsidRPr="00EB1F02">
              <w:rPr>
                <w:rFonts w:eastAsia="Arial Unicode MS"/>
              </w:rPr>
              <w:t>general services – meeting cultural needs of service users and supporting them to access dedicated Pacific services where available</w:t>
            </w:r>
          </w:p>
          <w:p w:rsidR="0088150A" w:rsidRPr="00EB1F02" w:rsidRDefault="0088150A" w:rsidP="00331D74">
            <w:pPr>
              <w:pStyle w:val="TableText"/>
              <w:rPr>
                <w:lang w:eastAsia="en-US"/>
              </w:rPr>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p w:rsidR="0088150A" w:rsidRPr="00EB1F02" w:rsidRDefault="0088150A" w:rsidP="00331D74">
            <w:pPr>
              <w:pStyle w:val="TableText"/>
              <w:rPr>
                <w:rFonts w:eastAsia="Arial Unicode MS"/>
              </w:rPr>
            </w:pPr>
            <w:r>
              <w:rPr>
                <w:lang w:eastAsia="en-US"/>
              </w:rPr>
              <w:t>The</w:t>
            </w:r>
            <w:r w:rsidRPr="00EB1F02">
              <w:rPr>
                <w:lang w:eastAsia="en-US"/>
              </w:rPr>
              <w:t xml:space="preserve"> Act</w:t>
            </w:r>
            <w:r w:rsidR="00A10EC0">
              <w:rPr>
                <w:lang w:eastAsia="en-US"/>
              </w:rPr>
              <w:t>’</w:t>
            </w:r>
            <w:r>
              <w:rPr>
                <w:lang w:eastAsia="en-US"/>
              </w:rPr>
              <w:t>s</w:t>
            </w:r>
            <w:r w:rsidRPr="00EB1F02">
              <w:rPr>
                <w:lang w:eastAsia="en-US"/>
              </w:rPr>
              <w:t xml:space="preserve"> requirements for research and evaluation – research and audit projects evaluating intervention and public health services</w:t>
            </w:r>
          </w:p>
        </w:tc>
      </w:tr>
      <w:tr w:rsidR="0088150A" w:rsidRPr="00C10A99" w:rsidTr="00331D74">
        <w:trPr>
          <w:cantSplit/>
        </w:trPr>
        <w:tc>
          <w:tcPr>
            <w:tcW w:w="1226" w:type="pct"/>
            <w:shd w:val="clear" w:color="auto" w:fill="auto"/>
            <w:noWrap/>
          </w:tcPr>
          <w:p w:rsidR="0088150A" w:rsidRPr="00EB1F02" w:rsidRDefault="0088150A" w:rsidP="00331D74">
            <w:pPr>
              <w:pStyle w:val="TableText"/>
              <w:rPr>
                <w:lang w:eastAsia="en-US"/>
              </w:rPr>
            </w:pPr>
            <w:r w:rsidRPr="00EB1F02">
              <w:rPr>
                <w:lang w:eastAsia="en-US"/>
              </w:rPr>
              <w:t>Working together – integration</w:t>
            </w:r>
          </w:p>
        </w:tc>
        <w:tc>
          <w:tcPr>
            <w:tcW w:w="3774" w:type="pct"/>
            <w:shd w:val="clear" w:color="auto" w:fill="auto"/>
            <w:noWrap/>
          </w:tcPr>
          <w:p w:rsidR="0088150A" w:rsidRPr="00EB1F02" w:rsidRDefault="0088150A" w:rsidP="00331D74">
            <w:pPr>
              <w:pStyle w:val="TableText"/>
              <w:rPr>
                <w:rFonts w:eastAsia="Arial Unicode MS"/>
              </w:rPr>
            </w:pPr>
            <w:r w:rsidRPr="00EB1F02">
              <w:rPr>
                <w:rFonts w:eastAsia="Arial Unicode MS"/>
              </w:rPr>
              <w:t>Principles underpinning the strategy – intersectoral approach</w:t>
            </w:r>
          </w:p>
          <w:p w:rsidR="0088150A" w:rsidRPr="00EB1F02" w:rsidRDefault="0088150A" w:rsidP="00331D74">
            <w:pPr>
              <w:pStyle w:val="TableText"/>
              <w:rPr>
                <w:rFonts w:eastAsia="Arial Unicode MS"/>
              </w:rPr>
            </w:pPr>
            <w:r w:rsidRPr="00EB1F02">
              <w:rPr>
                <w:rFonts w:eastAsia="Arial Unicode MS"/>
              </w:rPr>
              <w:t>Objectives 4 and 5 and associated priority actions</w:t>
            </w:r>
          </w:p>
          <w:p w:rsidR="0088150A" w:rsidRPr="00EB1F02" w:rsidRDefault="0088150A" w:rsidP="00331D74">
            <w:pPr>
              <w:pStyle w:val="TableText"/>
              <w:rPr>
                <w:rFonts w:eastAsia="Arial Unicode MS"/>
              </w:rPr>
            </w:pPr>
            <w:r w:rsidRPr="00EB1F02">
              <w:rPr>
                <w:rFonts w:eastAsia="Arial Unicode MS"/>
              </w:rPr>
              <w:t>Public health service specification purchase units 1 (policy development and implementation), 2 (safe gambling environments) and 5 (effective screening environments)</w:t>
            </w:r>
          </w:p>
          <w:p w:rsidR="0088150A" w:rsidRPr="00EB1F02" w:rsidRDefault="0088150A" w:rsidP="00331D74">
            <w:pPr>
              <w:pStyle w:val="TableText"/>
              <w:rPr>
                <w:rFonts w:eastAsia="Arial Unicode MS"/>
              </w:rPr>
            </w:pPr>
            <w:r w:rsidRPr="00EB1F02">
              <w:rPr>
                <w:rFonts w:eastAsia="Arial Unicode MS"/>
              </w:rPr>
              <w:t>Intervention service specification purchase unit 4 (facilitation services)</w:t>
            </w:r>
          </w:p>
        </w:tc>
      </w:tr>
      <w:tr w:rsidR="0088150A" w:rsidRPr="00331D74" w:rsidTr="00331D74">
        <w:trPr>
          <w:cantSplit/>
        </w:trPr>
        <w:tc>
          <w:tcPr>
            <w:tcW w:w="1226" w:type="pct"/>
            <w:shd w:val="clear" w:color="auto" w:fill="auto"/>
            <w:noWrap/>
          </w:tcPr>
          <w:p w:rsidR="0088150A" w:rsidRPr="00331D74" w:rsidRDefault="0088150A" w:rsidP="00331D74">
            <w:pPr>
              <w:pStyle w:val="TableText"/>
              <w:rPr>
                <w:b/>
                <w:lang w:eastAsia="en-US"/>
              </w:rPr>
            </w:pPr>
            <w:r w:rsidRPr="00331D74">
              <w:rPr>
                <w:b/>
                <w:lang w:eastAsia="en-US"/>
              </w:rPr>
              <w:t>Enablers of outcomes</w:t>
            </w:r>
          </w:p>
        </w:tc>
        <w:tc>
          <w:tcPr>
            <w:tcW w:w="3774" w:type="pct"/>
            <w:shd w:val="clear" w:color="auto" w:fill="auto"/>
            <w:noWrap/>
          </w:tcPr>
          <w:p w:rsidR="0088150A" w:rsidRPr="00331D74" w:rsidRDefault="0088150A" w:rsidP="00331D74">
            <w:pPr>
              <w:pStyle w:val="TableText"/>
              <w:rPr>
                <w:b/>
                <w:lang w:eastAsia="en-US"/>
              </w:rPr>
            </w:pPr>
          </w:p>
        </w:tc>
      </w:tr>
      <w:tr w:rsidR="0088150A" w:rsidRPr="00C10A99" w:rsidTr="00331D74">
        <w:trPr>
          <w:cantSplit/>
        </w:trPr>
        <w:tc>
          <w:tcPr>
            <w:tcW w:w="1226" w:type="pct"/>
            <w:shd w:val="clear" w:color="auto" w:fill="auto"/>
            <w:noWrap/>
          </w:tcPr>
          <w:p w:rsidR="0088150A" w:rsidRPr="00EB1F02" w:rsidRDefault="0088150A" w:rsidP="00331D74">
            <w:pPr>
              <w:pStyle w:val="TableText"/>
              <w:rPr>
                <w:lang w:eastAsia="en-US"/>
              </w:rPr>
            </w:pPr>
            <w:r w:rsidRPr="00EB1F02">
              <w:rPr>
                <w:lang w:eastAsia="en-US"/>
              </w:rPr>
              <w:t>Pacific workforce supply meets demand</w:t>
            </w:r>
          </w:p>
        </w:tc>
        <w:tc>
          <w:tcPr>
            <w:tcW w:w="3774" w:type="pct"/>
            <w:shd w:val="clear" w:color="auto" w:fill="auto"/>
            <w:noWrap/>
          </w:tcPr>
          <w:p w:rsidR="0088150A" w:rsidRPr="00EB1F02" w:rsidRDefault="0088150A" w:rsidP="00331D74">
            <w:pPr>
              <w:pStyle w:val="TableText"/>
            </w:pPr>
            <w:r w:rsidRPr="00EB1F02">
              <w:t>Dedicated Pacific services based in a Pacific cultural paradigm and using Pacific-derived beliefs, values and practices</w:t>
            </w:r>
          </w:p>
          <w:p w:rsidR="0088150A" w:rsidRPr="00EB1F02" w:rsidRDefault="0088150A" w:rsidP="00331D74">
            <w:pPr>
              <w:pStyle w:val="TableText"/>
            </w:pPr>
            <w:r w:rsidRPr="00EB1F02">
              <w:rPr>
                <w:rFonts w:eastAsia="Arial Unicode MS"/>
              </w:rPr>
              <w:t>Planning and prioritisation processes – mapping need based on population-specific prevalence and access rates</w:t>
            </w:r>
          </w:p>
          <w:p w:rsidR="0088150A" w:rsidRPr="00EB1F02" w:rsidRDefault="0088150A" w:rsidP="00331D74">
            <w:pPr>
              <w:pStyle w:val="TableText"/>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tc>
      </w:tr>
      <w:tr w:rsidR="0088150A" w:rsidRPr="00C10A99" w:rsidTr="00331D74">
        <w:trPr>
          <w:cantSplit/>
        </w:trPr>
        <w:tc>
          <w:tcPr>
            <w:tcW w:w="1226" w:type="pct"/>
            <w:shd w:val="clear" w:color="auto" w:fill="auto"/>
            <w:noWrap/>
          </w:tcPr>
          <w:p w:rsidR="0088150A" w:rsidRPr="00EF5F33" w:rsidRDefault="0088150A" w:rsidP="00331D74">
            <w:pPr>
              <w:pStyle w:val="TableText"/>
              <w:rPr>
                <w:lang w:eastAsia="en-US"/>
              </w:rPr>
            </w:pPr>
            <w:r w:rsidRPr="00EF5F33">
              <w:rPr>
                <w:lang w:eastAsia="en-US"/>
              </w:rPr>
              <w:lastRenderedPageBreak/>
              <w:t>Every dollar is spent in the best way to improve health outcomes</w:t>
            </w:r>
          </w:p>
        </w:tc>
        <w:tc>
          <w:tcPr>
            <w:tcW w:w="3774" w:type="pct"/>
            <w:shd w:val="clear" w:color="auto" w:fill="auto"/>
            <w:noWrap/>
          </w:tcPr>
          <w:p w:rsidR="0088150A" w:rsidRDefault="0088150A" w:rsidP="00331D74">
            <w:pPr>
              <w:pStyle w:val="TableText"/>
            </w:pPr>
            <w:r>
              <w:rPr>
                <w:lang w:eastAsia="en-US"/>
              </w:rPr>
              <w:t xml:space="preserve">The </w:t>
            </w:r>
            <w:r w:rsidRPr="00EF5F33">
              <w:rPr>
                <w:lang w:eastAsia="en-US"/>
              </w:rPr>
              <w:t>Act</w:t>
            </w:r>
            <w:r w:rsidR="00A10EC0">
              <w:rPr>
                <w:lang w:eastAsia="en-US"/>
              </w:rPr>
              <w:t>’</w:t>
            </w:r>
            <w:r>
              <w:rPr>
                <w:lang w:eastAsia="en-US"/>
              </w:rPr>
              <w:t>s</w:t>
            </w:r>
            <w:r w:rsidRPr="00EF5F33">
              <w:rPr>
                <w:lang w:eastAsia="en-US"/>
              </w:rPr>
              <w:t xml:space="preserve"> requirements for a specified consultation process to develop the strategy and the problem gambling levy rates to ensure best value for resources</w:t>
            </w:r>
          </w:p>
          <w:p w:rsidR="0088150A" w:rsidRPr="00EF5F33" w:rsidRDefault="0088150A" w:rsidP="00331D74">
            <w:pPr>
              <w:pStyle w:val="TableText"/>
            </w:pPr>
            <w:r>
              <w:rPr>
                <w:lang w:eastAsia="en-US"/>
              </w:rPr>
              <w:t xml:space="preserve">The </w:t>
            </w:r>
            <w:r w:rsidRPr="00EF5F33">
              <w:rPr>
                <w:lang w:eastAsia="en-US"/>
              </w:rPr>
              <w:t>Act</w:t>
            </w:r>
            <w:r w:rsidR="00A10EC0">
              <w:rPr>
                <w:lang w:eastAsia="en-US"/>
              </w:rPr>
              <w:t>’</w:t>
            </w:r>
            <w:r>
              <w:rPr>
                <w:lang w:eastAsia="en-US"/>
              </w:rPr>
              <w:t>s</w:t>
            </w:r>
            <w:r w:rsidRPr="00EF5F33">
              <w:rPr>
                <w:lang w:eastAsia="en-US"/>
              </w:rPr>
              <w:t xml:space="preserve"> requirements for research and evaluation – research and audit projects evaluating intervention and public health services</w:t>
            </w:r>
          </w:p>
        </w:tc>
      </w:tr>
      <w:tr w:rsidR="0088150A" w:rsidRPr="00331D74" w:rsidTr="00331D74">
        <w:trPr>
          <w:cantSplit/>
        </w:trPr>
        <w:tc>
          <w:tcPr>
            <w:tcW w:w="1226" w:type="pct"/>
            <w:shd w:val="clear" w:color="auto" w:fill="auto"/>
            <w:noWrap/>
          </w:tcPr>
          <w:p w:rsidR="0088150A" w:rsidRPr="00331D74" w:rsidRDefault="0088150A" w:rsidP="00331D74">
            <w:pPr>
              <w:pStyle w:val="TableText"/>
              <w:keepNext/>
              <w:rPr>
                <w:b/>
                <w:lang w:eastAsia="en-US"/>
              </w:rPr>
            </w:pPr>
            <w:r w:rsidRPr="00331D74">
              <w:rPr>
                <w:b/>
                <w:lang w:eastAsia="en-US"/>
              </w:rPr>
              <w:t>Priority outcomes</w:t>
            </w:r>
          </w:p>
        </w:tc>
        <w:tc>
          <w:tcPr>
            <w:tcW w:w="3774" w:type="pct"/>
            <w:shd w:val="clear" w:color="auto" w:fill="auto"/>
            <w:noWrap/>
          </w:tcPr>
          <w:p w:rsidR="0088150A" w:rsidRPr="00331D74" w:rsidRDefault="0088150A" w:rsidP="00331D74">
            <w:pPr>
              <w:pStyle w:val="TableText"/>
              <w:keepNext/>
              <w:rPr>
                <w:b/>
                <w:lang w:eastAsia="en-US"/>
              </w:rPr>
            </w:pPr>
          </w:p>
        </w:tc>
      </w:tr>
      <w:tr w:rsidR="0088150A" w:rsidRPr="00C10A99" w:rsidTr="00331D74">
        <w:trPr>
          <w:cantSplit/>
        </w:trPr>
        <w:tc>
          <w:tcPr>
            <w:tcW w:w="1226" w:type="pct"/>
            <w:shd w:val="clear" w:color="auto" w:fill="auto"/>
            <w:noWrap/>
          </w:tcPr>
          <w:p w:rsidR="0088150A" w:rsidRPr="00EF5F33" w:rsidRDefault="0088150A" w:rsidP="00331D74">
            <w:pPr>
              <w:pStyle w:val="TableText"/>
              <w:rPr>
                <w:lang w:eastAsia="en-US"/>
              </w:rPr>
            </w:pPr>
            <w:r w:rsidRPr="00EF5F33">
              <w:rPr>
                <w:lang w:eastAsia="en-US"/>
              </w:rPr>
              <w:t>Systems and services meet the needs of Pacific peoples</w:t>
            </w:r>
          </w:p>
        </w:tc>
        <w:tc>
          <w:tcPr>
            <w:tcW w:w="3774" w:type="pct"/>
            <w:shd w:val="clear" w:color="auto" w:fill="auto"/>
            <w:noWrap/>
          </w:tcPr>
          <w:p w:rsidR="0088150A" w:rsidRPr="00EF5F33" w:rsidRDefault="0088150A" w:rsidP="00331D74">
            <w:pPr>
              <w:pStyle w:val="TableText"/>
            </w:pPr>
            <w:r w:rsidRPr="00EF5F33">
              <w:t>Dedicated Pacific services based in a Pacific cultural paradigm and using Pacific-derived beliefs, values and practices</w:t>
            </w:r>
          </w:p>
          <w:p w:rsidR="0088150A" w:rsidRPr="00EF5F33" w:rsidRDefault="0088150A" w:rsidP="00331D74">
            <w:pPr>
              <w:pStyle w:val="TableText"/>
              <w:rPr>
                <w:lang w:eastAsia="en-US"/>
              </w:rPr>
            </w:pPr>
            <w:r w:rsidRPr="00EF5F33">
              <w:rPr>
                <w:lang w:eastAsia="en-US"/>
              </w:rPr>
              <w:t>Requirements for general services –</w:t>
            </w:r>
            <w:r>
              <w:rPr>
                <w:lang w:eastAsia="en-US"/>
              </w:rPr>
              <w:t xml:space="preserve"> </w:t>
            </w:r>
            <w:r w:rsidRPr="00EF5F33">
              <w:rPr>
                <w:lang w:eastAsia="en-US"/>
              </w:rPr>
              <w:t>meeting cultural needs of service users and supporting them to access dedicated Pacific services where available</w:t>
            </w:r>
          </w:p>
        </w:tc>
      </w:tr>
      <w:tr w:rsidR="0088150A" w:rsidRPr="00C10A99" w:rsidTr="00331D74">
        <w:trPr>
          <w:cantSplit/>
        </w:trPr>
        <w:tc>
          <w:tcPr>
            <w:tcW w:w="1226" w:type="pct"/>
            <w:shd w:val="clear" w:color="auto" w:fill="auto"/>
            <w:noWrap/>
          </w:tcPr>
          <w:p w:rsidR="0088150A" w:rsidRPr="00EF5F33" w:rsidRDefault="0088150A" w:rsidP="00331D74">
            <w:pPr>
              <w:pStyle w:val="TableText"/>
              <w:rPr>
                <w:lang w:eastAsia="en-US"/>
              </w:rPr>
            </w:pPr>
            <w:r w:rsidRPr="00EF5F33">
              <w:rPr>
                <w:lang w:eastAsia="en-US"/>
              </w:rPr>
              <w:t>More services</w:t>
            </w:r>
            <w:r>
              <w:rPr>
                <w:lang w:eastAsia="en-US"/>
              </w:rPr>
              <w:t xml:space="preserve"> are</w:t>
            </w:r>
            <w:r w:rsidRPr="00EF5F33">
              <w:rPr>
                <w:lang w:eastAsia="en-US"/>
              </w:rPr>
              <w:t xml:space="preserve"> delivered locally in the community and in primary care</w:t>
            </w:r>
          </w:p>
        </w:tc>
        <w:tc>
          <w:tcPr>
            <w:tcW w:w="3774" w:type="pct"/>
            <w:shd w:val="clear" w:color="auto" w:fill="auto"/>
            <w:noWrap/>
          </w:tcPr>
          <w:p w:rsidR="0088150A" w:rsidRPr="00EF5F33" w:rsidRDefault="0088150A" w:rsidP="00331D74">
            <w:pPr>
              <w:pStyle w:val="TableText"/>
            </w:pPr>
            <w:r w:rsidRPr="00EF5F33">
              <w:rPr>
                <w:rFonts w:eastAsia="Arial Unicode MS"/>
              </w:rPr>
              <w:t>Planning and prioritisation processes – mapping need based on population-specific prevalence and access rates</w:t>
            </w:r>
          </w:p>
        </w:tc>
      </w:tr>
      <w:tr w:rsidR="0088150A" w:rsidRPr="00C10A99" w:rsidTr="00331D74">
        <w:trPr>
          <w:cantSplit/>
        </w:trPr>
        <w:tc>
          <w:tcPr>
            <w:tcW w:w="1226" w:type="pct"/>
            <w:shd w:val="clear" w:color="auto" w:fill="auto"/>
            <w:noWrap/>
          </w:tcPr>
          <w:p w:rsidR="0088150A" w:rsidRPr="00EF5F33" w:rsidRDefault="0088150A" w:rsidP="00331D74">
            <w:pPr>
              <w:pStyle w:val="TableText"/>
              <w:rPr>
                <w:lang w:eastAsia="en-US"/>
              </w:rPr>
            </w:pPr>
            <w:r w:rsidRPr="00EF5F33">
              <w:rPr>
                <w:lang w:eastAsia="en-US"/>
              </w:rPr>
              <w:t>Pacific peoples are better supported to be healthy</w:t>
            </w:r>
          </w:p>
        </w:tc>
        <w:tc>
          <w:tcPr>
            <w:tcW w:w="3774" w:type="pct"/>
            <w:shd w:val="clear" w:color="auto" w:fill="auto"/>
            <w:noWrap/>
          </w:tcPr>
          <w:p w:rsidR="0088150A" w:rsidRPr="00EF5F33" w:rsidRDefault="0088150A" w:rsidP="00331D74">
            <w:pPr>
              <w:pStyle w:val="TableText"/>
              <w:rPr>
                <w:lang w:eastAsia="en-US"/>
              </w:rPr>
            </w:pPr>
            <w:r w:rsidRPr="00EF5F33">
              <w:rPr>
                <w:rFonts w:eastAsia="Arial Unicode MS"/>
              </w:rPr>
              <w:t>Overall goal of the strategy, principles underpinning the strategy and objective 1</w:t>
            </w:r>
          </w:p>
        </w:tc>
      </w:tr>
      <w:tr w:rsidR="0088150A" w:rsidRPr="00C10A99" w:rsidTr="00331D74">
        <w:trPr>
          <w:cantSplit/>
        </w:trPr>
        <w:tc>
          <w:tcPr>
            <w:tcW w:w="1226" w:type="pct"/>
            <w:tcBorders>
              <w:bottom w:val="single" w:sz="4" w:space="0" w:color="A6A6A6" w:themeColor="background1" w:themeShade="A6"/>
            </w:tcBorders>
            <w:shd w:val="clear" w:color="auto" w:fill="auto"/>
            <w:noWrap/>
          </w:tcPr>
          <w:p w:rsidR="0088150A" w:rsidRPr="00EF5F33" w:rsidRDefault="0088150A" w:rsidP="00331D74">
            <w:pPr>
              <w:pStyle w:val="TableText"/>
              <w:rPr>
                <w:lang w:eastAsia="en-US"/>
              </w:rPr>
            </w:pPr>
            <w:r w:rsidRPr="00EF5F33">
              <w:rPr>
                <w:lang w:eastAsia="en-US"/>
              </w:rPr>
              <w:t>Pacific peoples experience improved broader determinants of health</w:t>
            </w:r>
          </w:p>
        </w:tc>
        <w:tc>
          <w:tcPr>
            <w:tcW w:w="3774" w:type="pct"/>
            <w:tcBorders>
              <w:bottom w:val="single" w:sz="4" w:space="0" w:color="A6A6A6" w:themeColor="background1" w:themeShade="A6"/>
            </w:tcBorders>
            <w:shd w:val="clear" w:color="auto" w:fill="auto"/>
            <w:noWrap/>
          </w:tcPr>
          <w:p w:rsidR="0088150A" w:rsidRPr="00EF5F33" w:rsidRDefault="0088150A" w:rsidP="00331D74">
            <w:pPr>
              <w:pStyle w:val="TableText"/>
              <w:rPr>
                <w:lang w:eastAsia="en-US"/>
              </w:rPr>
            </w:pPr>
            <w:r w:rsidRPr="00EF5F33">
              <w:rPr>
                <w:rFonts w:eastAsia="Arial Unicode MS"/>
              </w:rPr>
              <w:t>Overall goal of the strategy, principles underpinning the strategy and objective 1</w:t>
            </w:r>
          </w:p>
        </w:tc>
      </w:tr>
    </w:tbl>
    <w:p w:rsidR="00331D74" w:rsidRDefault="00331D74" w:rsidP="00331D74">
      <w:bookmarkStart w:id="144" w:name="_Toc528934657"/>
      <w:bookmarkStart w:id="145" w:name="_Toc528934660"/>
      <w:bookmarkStart w:id="146" w:name="_Toc528934661"/>
      <w:bookmarkStart w:id="147" w:name="_Toc528934663"/>
      <w:bookmarkStart w:id="148" w:name="_Toc528934664"/>
      <w:bookmarkStart w:id="149" w:name="_Toc528934665"/>
      <w:bookmarkStart w:id="150" w:name="_Toc528934666"/>
      <w:bookmarkStart w:id="151" w:name="_Toc421026472"/>
      <w:bookmarkStart w:id="152" w:name="_Toc517090900"/>
      <w:bookmarkStart w:id="153" w:name="_Toc530487408"/>
      <w:bookmarkEnd w:id="144"/>
      <w:bookmarkEnd w:id="145"/>
      <w:bookmarkEnd w:id="146"/>
      <w:bookmarkEnd w:id="147"/>
      <w:bookmarkEnd w:id="148"/>
      <w:bookmarkEnd w:id="149"/>
      <w:bookmarkEnd w:id="150"/>
    </w:p>
    <w:p w:rsidR="0088150A" w:rsidRPr="003F217A" w:rsidRDefault="00AC044E" w:rsidP="00F776F5">
      <w:pPr>
        <w:pStyle w:val="Heading1"/>
        <w:rPr>
          <w:rFonts w:ascii="Segoe UI" w:hAnsi="Segoe UI" w:cs="Segoe UI"/>
          <w:b/>
          <w:sz w:val="68"/>
          <w:szCs w:val="68"/>
        </w:rPr>
      </w:pPr>
      <w:bookmarkStart w:id="154" w:name="_Toc9239601"/>
      <w:r w:rsidRPr="003F217A">
        <w:rPr>
          <w:rFonts w:ascii="Segoe UI" w:hAnsi="Segoe UI" w:cs="Segoe UI"/>
          <w:b/>
          <w:sz w:val="70"/>
          <w:szCs w:val="70"/>
        </w:rPr>
        <w:lastRenderedPageBreak/>
        <w:t>T</w:t>
      </w:r>
      <w:r w:rsidR="0088150A" w:rsidRPr="003F217A">
        <w:rPr>
          <w:rFonts w:ascii="Segoe UI" w:hAnsi="Segoe UI" w:cs="Segoe UI"/>
          <w:b/>
          <w:sz w:val="70"/>
          <w:szCs w:val="70"/>
        </w:rPr>
        <w:t>hree-year service plan</w:t>
      </w:r>
      <w:r w:rsidRPr="003F217A">
        <w:rPr>
          <w:rFonts w:ascii="Segoe UI" w:hAnsi="Segoe UI" w:cs="Segoe UI"/>
          <w:b/>
          <w:sz w:val="70"/>
          <w:szCs w:val="70"/>
        </w:rPr>
        <w:t xml:space="preserve"> </w:t>
      </w:r>
      <w:r w:rsidR="0088150A" w:rsidRPr="003F217A">
        <w:rPr>
          <w:rFonts w:ascii="Segoe UI" w:hAnsi="Segoe UI" w:cs="Segoe UI"/>
          <w:b/>
          <w:sz w:val="70"/>
          <w:szCs w:val="70"/>
        </w:rPr>
        <w:t>2019/20–</w:t>
      </w:r>
      <w:r w:rsidR="0088150A" w:rsidRPr="003F217A">
        <w:rPr>
          <w:rFonts w:ascii="Segoe UI" w:hAnsi="Segoe UI" w:cs="Segoe UI"/>
          <w:b/>
          <w:sz w:val="68"/>
          <w:szCs w:val="68"/>
        </w:rPr>
        <w:t>2021/22</w:t>
      </w:r>
      <w:bookmarkEnd w:id="47"/>
      <w:bookmarkEnd w:id="151"/>
      <w:bookmarkEnd w:id="152"/>
      <w:bookmarkEnd w:id="153"/>
      <w:bookmarkEnd w:id="154"/>
    </w:p>
    <w:p w:rsidR="0088150A" w:rsidRDefault="0088150A" w:rsidP="00B01F78">
      <w:pPr>
        <w:pStyle w:val="Heading2"/>
      </w:pPr>
      <w:bookmarkStart w:id="155" w:name="_Toc530487409"/>
      <w:bookmarkStart w:id="156" w:name="_Toc9239602"/>
      <w:bookmarkStart w:id="157" w:name="_Toc156877682"/>
      <w:r>
        <w:t>Background</w:t>
      </w:r>
      <w:bookmarkEnd w:id="155"/>
      <w:bookmarkEnd w:id="156"/>
    </w:p>
    <w:p w:rsidR="0088150A" w:rsidRDefault="0088150A" w:rsidP="00B01F78">
      <w:r w:rsidRPr="00C10A99">
        <w:t xml:space="preserve">This section provides </w:t>
      </w:r>
      <w:r>
        <w:t>backgroun</w:t>
      </w:r>
      <w:r w:rsidRPr="00C10A99">
        <w:t xml:space="preserve">d </w:t>
      </w:r>
      <w:r w:rsidR="0023574A">
        <w:t xml:space="preserve">context to the </w:t>
      </w:r>
      <w:r>
        <w:t>s</w:t>
      </w:r>
      <w:r w:rsidRPr="00C10A99">
        <w:t xml:space="preserve">ervice </w:t>
      </w:r>
      <w:r>
        <w:t>p</w:t>
      </w:r>
      <w:r w:rsidRPr="00C10A99">
        <w:t>lan</w:t>
      </w:r>
      <w:r>
        <w:t>,</w:t>
      </w:r>
      <w:r w:rsidR="0023574A">
        <w:t xml:space="preserve"> including</w:t>
      </w:r>
      <w:r>
        <w:t>:</w:t>
      </w:r>
    </w:p>
    <w:p w:rsidR="0088150A" w:rsidRDefault="0088150A" w:rsidP="00B01F78">
      <w:pPr>
        <w:pStyle w:val="Bullet"/>
      </w:pPr>
      <w:r>
        <w:t xml:space="preserve">a summary of </w:t>
      </w:r>
      <w:r w:rsidRPr="00C10A99">
        <w:t xml:space="preserve">developments in the service environment </w:t>
      </w:r>
    </w:p>
    <w:p w:rsidR="0088150A" w:rsidRDefault="0088150A" w:rsidP="00B01F78">
      <w:pPr>
        <w:pStyle w:val="Bullet"/>
      </w:pPr>
      <w:r>
        <w:t xml:space="preserve">brief comments on </w:t>
      </w:r>
      <w:r w:rsidRPr="00C10A99">
        <w:t xml:space="preserve">service delivery </w:t>
      </w:r>
      <w:r>
        <w:t>points to note from</w:t>
      </w:r>
      <w:r w:rsidRPr="00C10A99">
        <w:t xml:space="preserve"> the previous </w:t>
      </w:r>
      <w:r>
        <w:t>s</w:t>
      </w:r>
      <w:r w:rsidRPr="00C10A99">
        <w:t xml:space="preserve">ervice </w:t>
      </w:r>
      <w:r>
        <w:t>p</w:t>
      </w:r>
      <w:r w:rsidRPr="00C10A99">
        <w:t>lan</w:t>
      </w:r>
    </w:p>
    <w:p w:rsidR="0088150A" w:rsidRDefault="0088150A" w:rsidP="00B01F78">
      <w:pPr>
        <w:pStyle w:val="Bullet"/>
      </w:pPr>
      <w:r w:rsidRPr="00C10A99">
        <w:t xml:space="preserve">key factors contributing to the new </w:t>
      </w:r>
      <w:r>
        <w:t>s</w:t>
      </w:r>
      <w:r w:rsidRPr="00C10A99">
        <w:t xml:space="preserve">ervice </w:t>
      </w:r>
      <w:r>
        <w:t>p</w:t>
      </w:r>
      <w:r w:rsidRPr="00C10A99">
        <w:t>lan</w:t>
      </w:r>
      <w:r>
        <w:t>.</w:t>
      </w:r>
    </w:p>
    <w:p w:rsidR="0088150A" w:rsidRPr="0052418F" w:rsidRDefault="0088150A" w:rsidP="00B01F78">
      <w:pPr>
        <w:pStyle w:val="Heading3"/>
      </w:pPr>
      <w:bookmarkStart w:id="158" w:name="_Toc229279755"/>
      <w:bookmarkStart w:id="159" w:name="_Toc230066519"/>
      <w:bookmarkStart w:id="160" w:name="_Toc329860055"/>
      <w:bookmarkStart w:id="161" w:name="_Toc517090901"/>
      <w:r w:rsidRPr="0052418F">
        <w:t>Developments in the service environment 2016/17 to 2018/19</w:t>
      </w:r>
      <w:bookmarkEnd w:id="158"/>
      <w:bookmarkEnd w:id="159"/>
      <w:bookmarkEnd w:id="160"/>
      <w:bookmarkEnd w:id="161"/>
    </w:p>
    <w:bookmarkEnd w:id="157"/>
    <w:p w:rsidR="0088150A" w:rsidRPr="0058288C" w:rsidRDefault="0088150A" w:rsidP="00B01F78">
      <w:r w:rsidRPr="0058288C">
        <w:t>There were a number of significant developments in the service environment over the 2016/17 to 2018/</w:t>
      </w:r>
      <w:r w:rsidRPr="008279D7">
        <w:t>19 period</w:t>
      </w:r>
      <w:r w:rsidRPr="0058288C">
        <w:t>, including</w:t>
      </w:r>
      <w:r>
        <w:t xml:space="preserve"> the following</w:t>
      </w:r>
      <w:r w:rsidR="009211B5">
        <w:t>.</w:t>
      </w:r>
    </w:p>
    <w:p w:rsidR="0088150A" w:rsidRDefault="0088150A" w:rsidP="00B01F78">
      <w:pPr>
        <w:pStyle w:val="Bullet"/>
      </w:pPr>
      <w:r>
        <w:t xml:space="preserve">Service providers made </w:t>
      </w:r>
      <w:r w:rsidRPr="000D164E">
        <w:t xml:space="preserve">public health </w:t>
      </w:r>
      <w:r>
        <w:t xml:space="preserve">presentations to </w:t>
      </w:r>
      <w:r w:rsidRPr="000D164E">
        <w:t>hundreds of organisations</w:t>
      </w:r>
      <w:r>
        <w:t>,</w:t>
      </w:r>
      <w:r w:rsidRPr="000D164E">
        <w:t xml:space="preserve"> and </w:t>
      </w:r>
      <w:r>
        <w:t xml:space="preserve">conducted </w:t>
      </w:r>
      <w:r w:rsidRPr="000D164E">
        <w:t>hundreds of workshops on reducing gambling harm and related risks</w:t>
      </w:r>
      <w:r>
        <w:t>.</w:t>
      </w:r>
    </w:p>
    <w:p w:rsidR="00A10EC0" w:rsidRDefault="0088150A" w:rsidP="00B01F78">
      <w:pPr>
        <w:pStyle w:val="Bullet"/>
        <w:rPr>
          <w:szCs w:val="22"/>
        </w:rPr>
      </w:pPr>
      <w:r>
        <w:rPr>
          <w:szCs w:val="22"/>
        </w:rPr>
        <w:t xml:space="preserve">There was </w:t>
      </w:r>
      <w:r w:rsidRPr="00333353">
        <w:rPr>
          <w:szCs w:val="22"/>
        </w:rPr>
        <w:t xml:space="preserve">growth in venue development and </w:t>
      </w:r>
      <w:r>
        <w:rPr>
          <w:szCs w:val="22"/>
        </w:rPr>
        <w:t xml:space="preserve">the </w:t>
      </w:r>
      <w:r w:rsidRPr="00333353">
        <w:rPr>
          <w:szCs w:val="22"/>
        </w:rPr>
        <w:t xml:space="preserve">implementation </w:t>
      </w:r>
      <w:r>
        <w:rPr>
          <w:szCs w:val="22"/>
        </w:rPr>
        <w:t xml:space="preserve">of </w:t>
      </w:r>
      <w:r w:rsidRPr="001B2C13">
        <w:rPr>
          <w:szCs w:val="22"/>
        </w:rPr>
        <w:t xml:space="preserve">host responsibility policies and practices, and </w:t>
      </w:r>
      <w:r>
        <w:rPr>
          <w:szCs w:val="22"/>
        </w:rPr>
        <w:t xml:space="preserve">related </w:t>
      </w:r>
      <w:r w:rsidRPr="001B2C13">
        <w:rPr>
          <w:szCs w:val="22"/>
        </w:rPr>
        <w:t xml:space="preserve">staff </w:t>
      </w:r>
      <w:r>
        <w:rPr>
          <w:szCs w:val="22"/>
        </w:rPr>
        <w:t xml:space="preserve">awareness </w:t>
      </w:r>
      <w:r w:rsidRPr="001B2C13">
        <w:rPr>
          <w:szCs w:val="22"/>
        </w:rPr>
        <w:t>of gambling harm minimisation</w:t>
      </w:r>
      <w:r>
        <w:rPr>
          <w:szCs w:val="22"/>
        </w:rPr>
        <w:t>.</w:t>
      </w:r>
    </w:p>
    <w:p w:rsidR="0088150A" w:rsidRPr="000D164E" w:rsidRDefault="0088150A" w:rsidP="00B01F78">
      <w:pPr>
        <w:pStyle w:val="Bullet"/>
        <w:rPr>
          <w:szCs w:val="22"/>
        </w:rPr>
      </w:pPr>
      <w:r>
        <w:rPr>
          <w:szCs w:val="22"/>
        </w:rPr>
        <w:t>M</w:t>
      </w:r>
      <w:r w:rsidRPr="000D164E">
        <w:rPr>
          <w:szCs w:val="22"/>
        </w:rPr>
        <w:t xml:space="preserve">any workplaces have </w:t>
      </w:r>
      <w:r>
        <w:rPr>
          <w:szCs w:val="22"/>
        </w:rPr>
        <w:t>implemented gambling harm reduction policies (</w:t>
      </w:r>
      <w:r w:rsidRPr="000D164E">
        <w:rPr>
          <w:szCs w:val="22"/>
        </w:rPr>
        <w:t>eg</w:t>
      </w:r>
      <w:r>
        <w:rPr>
          <w:szCs w:val="22"/>
        </w:rPr>
        <w:t>,</w:t>
      </w:r>
      <w:r w:rsidRPr="000D164E">
        <w:rPr>
          <w:szCs w:val="22"/>
        </w:rPr>
        <w:t xml:space="preserve"> no gambling while at work, no gambling on workplace technologies</w:t>
      </w:r>
      <w:r>
        <w:rPr>
          <w:szCs w:val="22"/>
        </w:rPr>
        <w:t>).</w:t>
      </w:r>
    </w:p>
    <w:p w:rsidR="0088150A" w:rsidRDefault="0088150A" w:rsidP="00B01F78">
      <w:pPr>
        <w:pStyle w:val="Bullet"/>
        <w:rPr>
          <w:szCs w:val="22"/>
        </w:rPr>
      </w:pPr>
      <w:r>
        <w:rPr>
          <w:szCs w:val="22"/>
        </w:rPr>
        <w:t>Officials reviewed the m</w:t>
      </w:r>
      <w:r w:rsidRPr="000D164E">
        <w:rPr>
          <w:szCs w:val="22"/>
        </w:rPr>
        <w:t xml:space="preserve">ulti-venue exclusion </w:t>
      </w:r>
      <w:r>
        <w:rPr>
          <w:szCs w:val="22"/>
        </w:rPr>
        <w:t xml:space="preserve">(MVE) </w:t>
      </w:r>
      <w:r w:rsidRPr="000D164E">
        <w:rPr>
          <w:szCs w:val="22"/>
        </w:rPr>
        <w:t>processes</w:t>
      </w:r>
      <w:r>
        <w:rPr>
          <w:szCs w:val="22"/>
        </w:rPr>
        <w:t>, leading to a pilot of a n</w:t>
      </w:r>
      <w:r w:rsidRPr="000D164E">
        <w:rPr>
          <w:szCs w:val="22"/>
        </w:rPr>
        <w:t>ational standardised process</w:t>
      </w:r>
      <w:r>
        <w:rPr>
          <w:szCs w:val="22"/>
        </w:rPr>
        <w:t>.</w:t>
      </w:r>
    </w:p>
    <w:p w:rsidR="00A10EC0" w:rsidRDefault="008054EA" w:rsidP="00B01F78">
      <w:pPr>
        <w:pStyle w:val="Bullet"/>
      </w:pPr>
      <w:r>
        <w:rPr>
          <w:szCs w:val="22"/>
        </w:rPr>
        <w:t>Thirty-one</w:t>
      </w:r>
      <w:r w:rsidR="0088150A">
        <w:rPr>
          <w:szCs w:val="22"/>
        </w:rPr>
        <w:t xml:space="preserve"> percent of local authorities had sinking</w:t>
      </w:r>
      <w:r w:rsidR="00A222E5">
        <w:rPr>
          <w:szCs w:val="22"/>
        </w:rPr>
        <w:t>-</w:t>
      </w:r>
      <w:r w:rsidR="0088150A">
        <w:rPr>
          <w:szCs w:val="22"/>
        </w:rPr>
        <w:t>lid policies in place for NCGMs</w:t>
      </w:r>
      <w:r w:rsidR="009035C9">
        <w:rPr>
          <w:szCs w:val="22"/>
        </w:rPr>
        <w:t xml:space="preserve">, </w:t>
      </w:r>
      <w:r w:rsidR="009035C9">
        <w:t>and a further fifty-five percent had caps on the number of venues and/or machines in their area</w:t>
      </w:r>
      <w:r w:rsidR="0088150A">
        <w:rPr>
          <w:szCs w:val="22"/>
        </w:rPr>
        <w:t xml:space="preserve">. (While the numbers of </w:t>
      </w:r>
      <w:r w:rsidR="0088150A" w:rsidRPr="000D164E">
        <w:t>N</w:t>
      </w:r>
      <w:r w:rsidR="0088150A">
        <w:t>C</w:t>
      </w:r>
      <w:r w:rsidR="0088150A" w:rsidRPr="000D164E">
        <w:t>GM venues and machines have decreased, the average spending on NCGM</w:t>
      </w:r>
      <w:r w:rsidR="00994E27">
        <w:t>s</w:t>
      </w:r>
      <w:r w:rsidR="0088150A" w:rsidRPr="000D164E">
        <w:t xml:space="preserve"> has increased.</w:t>
      </w:r>
      <w:r w:rsidR="0088150A">
        <w:t>)</w:t>
      </w:r>
      <w:r w:rsidR="009035C9">
        <w:t xml:space="preserve"> </w:t>
      </w:r>
    </w:p>
    <w:p w:rsidR="00A10EC0" w:rsidRDefault="0088150A" w:rsidP="00B01F78">
      <w:pPr>
        <w:pStyle w:val="Bullet"/>
        <w:rPr>
          <w:szCs w:val="22"/>
        </w:rPr>
      </w:pPr>
      <w:r>
        <w:rPr>
          <w:szCs w:val="22"/>
        </w:rPr>
        <w:t>T</w:t>
      </w:r>
      <w:r w:rsidRPr="0058288C">
        <w:rPr>
          <w:szCs w:val="22"/>
        </w:rPr>
        <w:t>he Ministry introduced group therapy into service contracts, recognising the value of this form of treatment</w:t>
      </w:r>
      <w:r>
        <w:rPr>
          <w:szCs w:val="22"/>
        </w:rPr>
        <w:t>.</w:t>
      </w:r>
    </w:p>
    <w:p w:rsidR="0088150A" w:rsidRPr="0058288C" w:rsidRDefault="0088150A" w:rsidP="00B01F78">
      <w:pPr>
        <w:pStyle w:val="Bullet"/>
        <w:rPr>
          <w:szCs w:val="22"/>
        </w:rPr>
      </w:pPr>
      <w:r>
        <w:rPr>
          <w:szCs w:val="22"/>
        </w:rPr>
        <w:t>A</w:t>
      </w:r>
      <w:r w:rsidRPr="0058288C">
        <w:rPr>
          <w:szCs w:val="22"/>
        </w:rPr>
        <w:t xml:space="preserve">nalysis of Pacific </w:t>
      </w:r>
      <w:r>
        <w:rPr>
          <w:szCs w:val="22"/>
        </w:rPr>
        <w:t>peoples</w:t>
      </w:r>
      <w:r w:rsidR="00A10EC0">
        <w:rPr>
          <w:szCs w:val="22"/>
        </w:rPr>
        <w:t>’</w:t>
      </w:r>
      <w:r>
        <w:rPr>
          <w:szCs w:val="22"/>
        </w:rPr>
        <w:t xml:space="preserve"> </w:t>
      </w:r>
      <w:r w:rsidRPr="0058288C">
        <w:rPr>
          <w:szCs w:val="22"/>
        </w:rPr>
        <w:t>gambling behaviours, using the Pacific Island Families Study, identified particular areas of risk</w:t>
      </w:r>
      <w:r>
        <w:rPr>
          <w:szCs w:val="22"/>
        </w:rPr>
        <w:t xml:space="preserve"> for mothers and children.</w:t>
      </w:r>
    </w:p>
    <w:p w:rsidR="0088150A" w:rsidRDefault="0088150A" w:rsidP="00B01F78">
      <w:pPr>
        <w:pStyle w:val="Bullet"/>
        <w:keepNext/>
      </w:pPr>
      <w:r>
        <w:lastRenderedPageBreak/>
        <w:t xml:space="preserve">The Ministry negotiated and implemented </w:t>
      </w:r>
      <w:r w:rsidRPr="0058288C">
        <w:t>service outcome agreements, incorporating results</w:t>
      </w:r>
      <w:r>
        <w:t>-</w:t>
      </w:r>
      <w:r w:rsidRPr="0058288C">
        <w:t>based accountability measures from 1 January 2018</w:t>
      </w:r>
      <w:r>
        <w:t>.</w:t>
      </w:r>
    </w:p>
    <w:p w:rsidR="0088150A" w:rsidRPr="0058288C" w:rsidRDefault="00B01F78" w:rsidP="00B01F78">
      <w:pPr>
        <w:pStyle w:val="Bullet"/>
      </w:pPr>
      <w:r>
        <w:rPr>
          <w:rFonts w:eastAsiaTheme="minorHAnsi"/>
          <w:lang w:eastAsia="en-US"/>
        </w:rPr>
        <w:t>T</w:t>
      </w:r>
      <w:r w:rsidR="0088150A">
        <w:rPr>
          <w:rFonts w:eastAsiaTheme="minorHAnsi"/>
          <w:lang w:eastAsia="en-US"/>
        </w:rPr>
        <w:t>he Ministry prepared the G</w:t>
      </w:r>
      <w:r w:rsidR="0088150A" w:rsidRPr="005907E1">
        <w:rPr>
          <w:rFonts w:eastAsiaTheme="minorHAnsi"/>
          <w:lang w:eastAsia="en-US"/>
        </w:rPr>
        <w:t xml:space="preserve">ambling </w:t>
      </w:r>
      <w:r w:rsidR="0088150A">
        <w:rPr>
          <w:rFonts w:eastAsiaTheme="minorHAnsi"/>
          <w:lang w:eastAsia="en-US"/>
        </w:rPr>
        <w:t>O</w:t>
      </w:r>
      <w:r w:rsidR="0088150A" w:rsidRPr="005907E1">
        <w:rPr>
          <w:rFonts w:eastAsiaTheme="minorHAnsi"/>
          <w:lang w:eastAsia="en-US"/>
        </w:rPr>
        <w:t xml:space="preserve">utcomes </w:t>
      </w:r>
      <w:r w:rsidR="0088150A">
        <w:rPr>
          <w:rFonts w:eastAsiaTheme="minorHAnsi"/>
          <w:lang w:eastAsia="en-US"/>
        </w:rPr>
        <w:t>M</w:t>
      </w:r>
      <w:r w:rsidR="0088150A" w:rsidRPr="005907E1">
        <w:rPr>
          <w:rFonts w:eastAsiaTheme="minorHAnsi"/>
          <w:lang w:eastAsia="en-US"/>
        </w:rPr>
        <w:t xml:space="preserve">onitoring </w:t>
      </w:r>
      <w:r w:rsidR="0088150A">
        <w:rPr>
          <w:rFonts w:eastAsiaTheme="minorHAnsi"/>
          <w:lang w:eastAsia="en-US"/>
        </w:rPr>
        <w:t>R</w:t>
      </w:r>
      <w:r w:rsidR="0088150A" w:rsidRPr="005907E1">
        <w:rPr>
          <w:rFonts w:eastAsiaTheme="minorHAnsi"/>
          <w:lang w:eastAsia="en-US"/>
        </w:rPr>
        <w:t>eport 2007</w:t>
      </w:r>
      <w:r w:rsidR="0088150A">
        <w:rPr>
          <w:rFonts w:eastAsiaTheme="minorHAnsi"/>
          <w:lang w:eastAsia="en-US"/>
        </w:rPr>
        <w:t>–</w:t>
      </w:r>
      <w:r w:rsidR="0088150A" w:rsidRPr="005907E1">
        <w:rPr>
          <w:rFonts w:eastAsiaTheme="minorHAnsi"/>
          <w:lang w:eastAsia="en-US"/>
        </w:rPr>
        <w:t>2017 (in publication)</w:t>
      </w:r>
      <w:r w:rsidR="0088150A">
        <w:rPr>
          <w:rFonts w:eastAsiaTheme="minorHAnsi"/>
          <w:lang w:eastAsia="en-US"/>
        </w:rPr>
        <w:t xml:space="preserve">, </w:t>
      </w:r>
      <w:r w:rsidR="0088150A">
        <w:t>which reviewed progress towards gambling harm outcomes since 2010</w:t>
      </w:r>
      <w:r w:rsidR="0088150A" w:rsidRPr="0058288C">
        <w:t>.</w:t>
      </w:r>
    </w:p>
    <w:p w:rsidR="0088150A" w:rsidRPr="0052418F" w:rsidRDefault="0088150A" w:rsidP="00B01F78">
      <w:pPr>
        <w:pStyle w:val="Heading3"/>
      </w:pPr>
      <w:bookmarkStart w:id="162" w:name="_Toc229279757"/>
      <w:bookmarkStart w:id="163" w:name="_Toc517090902"/>
      <w:r w:rsidRPr="0052418F">
        <w:t>Service delivery</w:t>
      </w:r>
      <w:bookmarkEnd w:id="162"/>
      <w:r w:rsidRPr="0052418F">
        <w:t xml:space="preserve"> in 2016/17 to 2018/19</w:t>
      </w:r>
      <w:bookmarkEnd w:id="163"/>
    </w:p>
    <w:p w:rsidR="0088150A" w:rsidRDefault="0088150A" w:rsidP="00B01F78">
      <w:bookmarkStart w:id="164" w:name="_Toc528934670"/>
      <w:bookmarkEnd w:id="164"/>
      <w:r w:rsidRPr="00E312E8">
        <w:t>This section discusses service delivery during the 2016/17 to 2018/19 period in terms of public health activity, intervention activity, accessibility for and responsiveness to the needs of Māori and Pacific peoples, and research and evaluation.</w:t>
      </w:r>
    </w:p>
    <w:p w:rsidR="0088150A" w:rsidRPr="00E312E8" w:rsidRDefault="0088150A" w:rsidP="00B01F78">
      <w:pPr>
        <w:pStyle w:val="Heading4"/>
      </w:pPr>
      <w:r w:rsidRPr="00E312E8">
        <w:t>Public health</w:t>
      </w:r>
    </w:p>
    <w:p w:rsidR="0088150A" w:rsidRDefault="0088150A" w:rsidP="00B01F78">
      <w:r>
        <w:t xml:space="preserve">Effective </w:t>
      </w:r>
      <w:r w:rsidRPr="00EF5F33">
        <w:t>health promotion is central to the Ministry</w:t>
      </w:r>
      <w:r w:rsidR="00A10EC0">
        <w:t>’</w:t>
      </w:r>
      <w:r w:rsidRPr="00EF5F33">
        <w:t xml:space="preserve">s national public health activity. </w:t>
      </w:r>
      <w:r>
        <w:t>In the context of gambling, the Ministry</w:t>
      </w:r>
      <w:r w:rsidR="00A10EC0">
        <w:t>’</w:t>
      </w:r>
      <w:r>
        <w:t xml:space="preserve">s public health promotion aims are </w:t>
      </w:r>
      <w:r w:rsidRPr="00EF5F33">
        <w:t xml:space="preserve">to </w:t>
      </w:r>
      <w:r>
        <w:t>raise awareness of the signs of harmful gambling and encourage m</w:t>
      </w:r>
      <w:r w:rsidRPr="00EF5F33">
        <w:t xml:space="preserve">ore </w:t>
      </w:r>
      <w:r>
        <w:t xml:space="preserve">at-risk </w:t>
      </w:r>
      <w:r w:rsidRPr="00EF5F33">
        <w:t xml:space="preserve">people to check whether their gambling is </w:t>
      </w:r>
      <w:r>
        <w:t>OK</w:t>
      </w:r>
      <w:r w:rsidRPr="00EF5F33">
        <w:t xml:space="preserve"> before harm escalates in severity</w:t>
      </w:r>
      <w:r>
        <w:t>,</w:t>
      </w:r>
      <w:r w:rsidRPr="00EF5F33">
        <w:t xml:space="preserve"> and to motivate </w:t>
      </w:r>
      <w:r>
        <w:t xml:space="preserve">those </w:t>
      </w:r>
      <w:r w:rsidRPr="00EF5F33">
        <w:t>who are at risk to get help earlier (or change their behaviour through self-help).</w:t>
      </w:r>
    </w:p>
    <w:p w:rsidR="0088150A" w:rsidRDefault="0088150A" w:rsidP="00B01F78">
      <w:pPr>
        <w:rPr>
          <w:lang w:eastAsia="en-NZ"/>
        </w:rPr>
      </w:pPr>
    </w:p>
    <w:p w:rsidR="0088150A" w:rsidRPr="000D164E" w:rsidRDefault="0088150A" w:rsidP="00B01F78">
      <w:r w:rsidRPr="000D164E">
        <w:t>HPA</w:t>
      </w:r>
      <w:r w:rsidR="00A10EC0">
        <w:t>’</w:t>
      </w:r>
      <w:r>
        <w:t>s health promotion</w:t>
      </w:r>
      <w:r w:rsidRPr="000D164E">
        <w:t xml:space="preserve"> programme focuses on encouraging positive behaviour change among at-risk gamblers and raising awareness about </w:t>
      </w:r>
      <w:r>
        <w:t xml:space="preserve">the signs of harmful gambling and </w:t>
      </w:r>
      <w:r w:rsidRPr="000D164E">
        <w:t xml:space="preserve">risky gambling behaviours. </w:t>
      </w:r>
      <w:r>
        <w:t>H</w:t>
      </w:r>
      <w:r w:rsidR="00CE10F6">
        <w:t>PA</w:t>
      </w:r>
      <w:r w:rsidR="00582CC7">
        <w:t>-</w:t>
      </w:r>
      <w:r w:rsidRPr="000D164E">
        <w:t>led developments have included enhancing national awareness</w:t>
      </w:r>
      <w:r>
        <w:t>-</w:t>
      </w:r>
      <w:r w:rsidRPr="000D164E">
        <w:t>raising campaigns</w:t>
      </w:r>
      <w:r>
        <w:t>,</w:t>
      </w:r>
      <w:r w:rsidRPr="000D164E">
        <w:t xml:space="preserve"> develop</w:t>
      </w:r>
      <w:r>
        <w:t>ing</w:t>
      </w:r>
      <w:r w:rsidRPr="000D164E">
        <w:t xml:space="preserve"> and implement</w:t>
      </w:r>
      <w:r>
        <w:t>ing</w:t>
      </w:r>
      <w:r w:rsidRPr="000D164E">
        <w:t xml:space="preserve"> host responsibility policies and practices, and </w:t>
      </w:r>
      <w:r>
        <w:t xml:space="preserve">increasing </w:t>
      </w:r>
      <w:r w:rsidRPr="000D164E">
        <w:t>staff knowledge of gambling harm minimisation.</w:t>
      </w:r>
      <w:r w:rsidRPr="003D473C">
        <w:t xml:space="preserve"> </w:t>
      </w:r>
      <w:r>
        <w:t xml:space="preserve">Over </w:t>
      </w:r>
      <w:r w:rsidRPr="00E312E8">
        <w:t>2016/17</w:t>
      </w:r>
      <w:r>
        <w:t xml:space="preserve">–2018, HPA continued to promote </w:t>
      </w:r>
      <w:r w:rsidRPr="00EF5F33">
        <w:t xml:space="preserve">the Gambling Helpline, </w:t>
      </w:r>
      <w:hyperlink r:id="rId45" w:tgtFrame="_blank" w:history="1">
        <w:r w:rsidRPr="00EF5F33">
          <w:t>Choice</w:t>
        </w:r>
        <w:r>
          <w:t xml:space="preserve"> </w:t>
        </w:r>
        <w:r w:rsidRPr="00EF5F33">
          <w:t>Not</w:t>
        </w:r>
        <w:r>
          <w:t xml:space="preserve"> C</w:t>
        </w:r>
        <w:r w:rsidRPr="00EF5F33">
          <w:t>hance</w:t>
        </w:r>
        <w:r w:rsidRPr="00B01F78">
          <w:rPr>
            <w:rStyle w:val="FootnoteReference"/>
          </w:rPr>
          <w:footnoteReference w:id="13"/>
        </w:r>
        <w:r w:rsidRPr="00B01F78">
          <w:t xml:space="preserve"> </w:t>
        </w:r>
        <w:r w:rsidRPr="00EF5F33">
          <w:t xml:space="preserve">and face-to-face </w:t>
        </w:r>
        <w:r>
          <w:t xml:space="preserve">support </w:t>
        </w:r>
        <w:r w:rsidRPr="00EF5F33">
          <w:t>services.</w:t>
        </w:r>
      </w:hyperlink>
    </w:p>
    <w:p w:rsidR="0088150A" w:rsidRDefault="0088150A" w:rsidP="00B01F78"/>
    <w:p w:rsidR="0088150A" w:rsidRPr="000D164E" w:rsidRDefault="0088150A" w:rsidP="00B01F78">
      <w:r w:rsidRPr="000D164E">
        <w:t>National and regional service providers delivered a variety of health promotion activities to minimise gambling</w:t>
      </w:r>
      <w:r>
        <w:t>-</w:t>
      </w:r>
      <w:r w:rsidRPr="000D164E">
        <w:t>related harm in communities</w:t>
      </w:r>
      <w:r>
        <w:t xml:space="preserve">, </w:t>
      </w:r>
      <w:r w:rsidRPr="000D164E">
        <w:t>includ</w:t>
      </w:r>
      <w:r>
        <w:t>ing</w:t>
      </w:r>
      <w:r w:rsidRPr="000D164E">
        <w:t xml:space="preserve"> advocating and supporting hundreds of organisations and workplaces to adopt reducing gambling harm policies, </w:t>
      </w:r>
      <w:r>
        <w:t xml:space="preserve">run </w:t>
      </w:r>
      <w:r w:rsidRPr="000D164E">
        <w:t xml:space="preserve">workshops and presentations on recognising gambling harm and </w:t>
      </w:r>
      <w:r>
        <w:t xml:space="preserve">learn </w:t>
      </w:r>
      <w:r w:rsidRPr="000D164E">
        <w:t>how to support someone who wants help to stop gambling</w:t>
      </w:r>
      <w:r>
        <w:t>,</w:t>
      </w:r>
      <w:r w:rsidRPr="000D164E">
        <w:t xml:space="preserve"> and thousands of awareness</w:t>
      </w:r>
      <w:r>
        <w:t>-</w:t>
      </w:r>
      <w:r w:rsidRPr="000D164E">
        <w:t xml:space="preserve">raising activities in communities. A regionally led campaign to </w:t>
      </w:r>
      <w:r w:rsidR="00A10EC0">
        <w:t>‘</w:t>
      </w:r>
      <w:r w:rsidRPr="000D164E">
        <w:t xml:space="preserve">Turn Off </w:t>
      </w:r>
      <w:r w:rsidR="00AB1C7E">
        <w:t>t</w:t>
      </w:r>
      <w:r w:rsidRPr="000D164E">
        <w:t>he Pokies</w:t>
      </w:r>
      <w:r w:rsidR="00A10EC0">
        <w:t>’</w:t>
      </w:r>
      <w:r w:rsidRPr="000D164E">
        <w:t xml:space="preserve"> was well supported by </w:t>
      </w:r>
      <w:r>
        <w:t>c</w:t>
      </w:r>
      <w:r w:rsidRPr="000D164E">
        <w:t xml:space="preserve">lass 4 venues. </w:t>
      </w:r>
      <w:r>
        <w:t>Many se</w:t>
      </w:r>
      <w:r w:rsidRPr="00EF5F33">
        <w:t xml:space="preserve">rvice providers </w:t>
      </w:r>
      <w:r>
        <w:t xml:space="preserve">also provided a community perspective into the </w:t>
      </w:r>
      <w:r w:rsidRPr="00EF5F33">
        <w:t xml:space="preserve">reviews of local gambling venue policies undertaken by territorial authorities. </w:t>
      </w:r>
      <w:r>
        <w:t xml:space="preserve">Currently about </w:t>
      </w:r>
      <w:r w:rsidR="009035C9">
        <w:t>87 </w:t>
      </w:r>
      <w:r>
        <w:t xml:space="preserve">percent of local </w:t>
      </w:r>
      <w:r w:rsidRPr="00EF5F33">
        <w:t xml:space="preserve">authorities </w:t>
      </w:r>
      <w:r>
        <w:t xml:space="preserve">have </w:t>
      </w:r>
      <w:r w:rsidRPr="00EF5F33">
        <w:t xml:space="preserve">either gaming machine caps or sinking-lid policies in their </w:t>
      </w:r>
      <w:r>
        <w:t>areas.</w:t>
      </w:r>
    </w:p>
    <w:p w:rsidR="0088150A" w:rsidRPr="000D164E" w:rsidRDefault="0088150A" w:rsidP="00B01F78"/>
    <w:p w:rsidR="0088150A" w:rsidRPr="000D164E" w:rsidRDefault="0088150A" w:rsidP="00B01F78">
      <w:r w:rsidRPr="000D164E">
        <w:t xml:space="preserve">In line with the objectives of the strategy, the Ministry funded dedicated Māori, Pacific and Asian public health services to provide appropriate and relevant services within </w:t>
      </w:r>
      <w:r>
        <w:t xml:space="preserve">their </w:t>
      </w:r>
      <w:r w:rsidRPr="000D164E">
        <w:t>communities</w:t>
      </w:r>
      <w:r>
        <w:t>.</w:t>
      </w:r>
    </w:p>
    <w:p w:rsidR="0088150A" w:rsidRPr="000D164E" w:rsidRDefault="0088150A" w:rsidP="00B01F78"/>
    <w:p w:rsidR="0088150A" w:rsidRDefault="0088150A" w:rsidP="00B01F78">
      <w:pPr>
        <w:keepLines/>
      </w:pPr>
      <w:r w:rsidRPr="000D164E">
        <w:t xml:space="preserve">The national Multi Venue Exclusion Advisory Group led a review of </w:t>
      </w:r>
      <w:r>
        <w:t xml:space="preserve">MVE </w:t>
      </w:r>
      <w:r w:rsidRPr="000D164E">
        <w:t>processes for gamblers who want to be stopped from entering gambling venues. As a result of the review</w:t>
      </w:r>
      <w:r>
        <w:t xml:space="preserve">, a pilot </w:t>
      </w:r>
      <w:r w:rsidRPr="000D164E">
        <w:t>national standardised process for supporting this process</w:t>
      </w:r>
      <w:r>
        <w:t xml:space="preserve"> is under</w:t>
      </w:r>
      <w:r w:rsidR="00B01F78">
        <w:t xml:space="preserve"> </w:t>
      </w:r>
      <w:r>
        <w:t>way.</w:t>
      </w:r>
    </w:p>
    <w:p w:rsidR="0088150A" w:rsidRPr="00C10A99" w:rsidRDefault="0088150A" w:rsidP="00B01F78">
      <w:pPr>
        <w:pStyle w:val="Heading4"/>
      </w:pPr>
      <w:r w:rsidRPr="00C10A99">
        <w:lastRenderedPageBreak/>
        <w:t>Intervention</w:t>
      </w:r>
    </w:p>
    <w:p w:rsidR="0088150A" w:rsidRPr="00EF5F33" w:rsidRDefault="0088150A" w:rsidP="00B01F78">
      <w:r w:rsidRPr="00EF5F33">
        <w:t xml:space="preserve">In </w:t>
      </w:r>
      <w:r>
        <w:t xml:space="preserve">the </w:t>
      </w:r>
      <w:r w:rsidRPr="00EF5F33">
        <w:t>2017</w:t>
      </w:r>
      <w:r>
        <w:t>/18 year</w:t>
      </w:r>
      <w:r w:rsidRPr="00EF5F33">
        <w:t xml:space="preserve">, over </w:t>
      </w:r>
      <w:r>
        <w:t>5,4</w:t>
      </w:r>
      <w:r w:rsidRPr="00EF5F33">
        <w:t>00 people sought help from Ministry-funded services, for problems due to their own or someone else</w:t>
      </w:r>
      <w:r w:rsidR="00A10EC0">
        <w:t>’</w:t>
      </w:r>
      <w:r w:rsidRPr="00EF5F33">
        <w:t xml:space="preserve">s gambling. Most of these people were in crisis. If brief interventions in non-clinical settings </w:t>
      </w:r>
      <w:r>
        <w:t>are</w:t>
      </w:r>
      <w:r w:rsidRPr="00EF5F33">
        <w:t xml:space="preserve"> included</w:t>
      </w:r>
      <w:r>
        <w:t xml:space="preserve"> in this analysis</w:t>
      </w:r>
      <w:r w:rsidRPr="00EF5F33">
        <w:t>, the total increases to more than 1</w:t>
      </w:r>
      <w:r>
        <w:t>0</w:t>
      </w:r>
      <w:r w:rsidRPr="00EF5F33">
        <w:t>,</w:t>
      </w:r>
      <w:r>
        <w:t>5</w:t>
      </w:r>
      <w:r w:rsidRPr="00EF5F33">
        <w:t>00</w:t>
      </w:r>
      <w:r>
        <w:t xml:space="preserve"> people.</w:t>
      </w:r>
    </w:p>
    <w:p w:rsidR="0088150A" w:rsidRDefault="0088150A" w:rsidP="00B01F78"/>
    <w:p w:rsidR="00A10EC0" w:rsidRDefault="0088150A" w:rsidP="00B01F78">
      <w:r>
        <w:t>In the</w:t>
      </w:r>
      <w:r w:rsidRPr="00EF5F33">
        <w:t xml:space="preserve"> three years</w:t>
      </w:r>
      <w:r>
        <w:t xml:space="preserve"> 2015/16 to 2017/18,</w:t>
      </w:r>
      <w:r w:rsidRPr="00EF5F33">
        <w:t xml:space="preserve"> there </w:t>
      </w:r>
      <w:r>
        <w:t xml:space="preserve">was </w:t>
      </w:r>
      <w:r w:rsidRPr="00EF5F33">
        <w:t xml:space="preserve">a slight decrease in the total numbers of reported interventions. The decline over the period is attributable to fewer new clients coming forward. The numbers of existing clients receiving interventions has been relatively static over the period. Going further </w:t>
      </w:r>
      <w:r>
        <w:t>b</w:t>
      </w:r>
      <w:r w:rsidRPr="00EF5F33">
        <w:t>ack, the number of pe</w:t>
      </w:r>
      <w:r>
        <w:t>ople</w:t>
      </w:r>
      <w:r w:rsidRPr="00EF5F33">
        <w:t xml:space="preserve"> seeking interventions has been relatively stable for five to seven years. Similarly, the proportion of pe</w:t>
      </w:r>
      <w:r>
        <w:t>ople</w:t>
      </w:r>
      <w:r w:rsidRPr="00EF5F33">
        <w:t xml:space="preserve"> reporting some form of harmful gambling behaviour </w:t>
      </w:r>
      <w:r>
        <w:t>in</w:t>
      </w:r>
      <w:r w:rsidRPr="00EF5F33">
        <w:t xml:space="preserve"> the HLS surveys remained static</w:t>
      </w:r>
      <w:r>
        <w:t>,</w:t>
      </w:r>
      <w:r w:rsidRPr="00EF5F33">
        <w:t xml:space="preserve"> at </w:t>
      </w:r>
      <w:r w:rsidR="009035C9">
        <w:t xml:space="preserve">approximately </w:t>
      </w:r>
      <w:r w:rsidRPr="00EF5F33">
        <w:t>5</w:t>
      </w:r>
      <w:r>
        <w:t xml:space="preserve"> percent</w:t>
      </w:r>
      <w:r w:rsidRPr="00EF5F33">
        <w:t xml:space="preserve"> of the population, </w:t>
      </w:r>
      <w:r>
        <w:t xml:space="preserve">between </w:t>
      </w:r>
      <w:r w:rsidRPr="00EF5F33">
        <w:t xml:space="preserve">2012 </w:t>
      </w:r>
      <w:r>
        <w:t xml:space="preserve">and </w:t>
      </w:r>
      <w:r w:rsidR="009035C9" w:rsidRPr="00EF5F33">
        <w:t>201</w:t>
      </w:r>
      <w:r w:rsidR="009035C9">
        <w:t>8</w:t>
      </w:r>
      <w:r>
        <w:t>.</w:t>
      </w:r>
      <w:r w:rsidR="009035C9">
        <w:rPr>
          <w:rStyle w:val="FootnoteReference"/>
        </w:rPr>
        <w:footnoteReference w:id="14"/>
      </w:r>
    </w:p>
    <w:p w:rsidR="0088150A" w:rsidRDefault="0088150A" w:rsidP="00B01F78"/>
    <w:p w:rsidR="0088150A" w:rsidRDefault="0088150A" w:rsidP="00B01F78">
      <w:r>
        <w:t>Importantly, these static rates belie the fact that the actual number of people affected by harmful gambling is increasing in line with population growth, and intervention services growth is flat.</w:t>
      </w:r>
    </w:p>
    <w:p w:rsidR="0088150A" w:rsidRDefault="0088150A" w:rsidP="00B01F78"/>
    <w:p w:rsidR="0088150A" w:rsidRDefault="0088150A" w:rsidP="00B01F78">
      <w:r>
        <w:t xml:space="preserve">Similarly, </w:t>
      </w:r>
      <w:r w:rsidRPr="00EF5F33">
        <w:t xml:space="preserve">needs assessment and outcomes monitoring reports show </w:t>
      </w:r>
      <w:r>
        <w:t xml:space="preserve">that only 16 percent of </w:t>
      </w:r>
      <w:r w:rsidRPr="00EF5F33">
        <w:t>potential clients for gambling support services</w:t>
      </w:r>
      <w:r>
        <w:t xml:space="preserve"> (</w:t>
      </w:r>
      <w:r w:rsidRPr="00EF5F33">
        <w:t>that is</w:t>
      </w:r>
      <w:r>
        <w:t>,</w:t>
      </w:r>
      <w:r w:rsidRPr="00EF5F33">
        <w:t xml:space="preserve"> people whose reported harm results in a moderate to high </w:t>
      </w:r>
      <w:r w:rsidR="00BC260C" w:rsidRPr="00EF5F33">
        <w:t>P</w:t>
      </w:r>
      <w:r w:rsidR="00BC260C">
        <w:t>GSI</w:t>
      </w:r>
      <w:r w:rsidR="00BC260C" w:rsidRPr="00EF5F33">
        <w:t xml:space="preserve"> </w:t>
      </w:r>
      <w:r w:rsidRPr="00EF5F33">
        <w:t>score</w:t>
      </w:r>
      <w:r>
        <w:t>)</w:t>
      </w:r>
      <w:r w:rsidRPr="00EF5F33">
        <w:t xml:space="preserve"> actually access</w:t>
      </w:r>
      <w:r>
        <w:t xml:space="preserve"> or present at these </w:t>
      </w:r>
      <w:r w:rsidRPr="00EF5F33">
        <w:t xml:space="preserve">services. </w:t>
      </w:r>
      <w:r>
        <w:t xml:space="preserve">This low service use is also evident for </w:t>
      </w:r>
      <w:r w:rsidRPr="00EF5F33">
        <w:t>other forms of addicti</w:t>
      </w:r>
      <w:r>
        <w:t>on.</w:t>
      </w:r>
    </w:p>
    <w:p w:rsidR="0088150A" w:rsidRDefault="0088150A" w:rsidP="00B01F78"/>
    <w:p w:rsidR="0088150A" w:rsidRDefault="0088150A" w:rsidP="00B01F78">
      <w:r w:rsidRPr="00EF5F33">
        <w:t xml:space="preserve">Improving intervention and service </w:t>
      </w:r>
      <w:r w:rsidR="0041671F">
        <w:t>use</w:t>
      </w:r>
      <w:r w:rsidRPr="00EF5F33">
        <w:t xml:space="preserve"> rates remains a challenge</w:t>
      </w:r>
      <w:r>
        <w:t>.</w:t>
      </w:r>
      <w:r w:rsidRPr="00EF5F33">
        <w:t xml:space="preserve"> </w:t>
      </w:r>
      <w:r>
        <w:t>It</w:t>
      </w:r>
      <w:r w:rsidRPr="00EF5F33">
        <w:t xml:space="preserve"> will require further work to address systemic or persistent barrier</w:t>
      </w:r>
      <w:r>
        <w:t>s</w:t>
      </w:r>
      <w:r w:rsidRPr="00EF5F33">
        <w:t xml:space="preserve"> to access and inequities based on ethnicity or socioeconomic factors.</w:t>
      </w:r>
    </w:p>
    <w:p w:rsidR="0088150A" w:rsidRPr="00C10A99" w:rsidRDefault="0088150A" w:rsidP="00B01F78">
      <w:pPr>
        <w:pStyle w:val="Heading4"/>
      </w:pPr>
      <w:r w:rsidRPr="00C10A99">
        <w:t>Accessibility for Māori</w:t>
      </w:r>
      <w:r>
        <w:t xml:space="preserve">, </w:t>
      </w:r>
      <w:r w:rsidRPr="00C10A99">
        <w:t xml:space="preserve">Pacific </w:t>
      </w:r>
      <w:r>
        <w:t>and other vulnerable grou</w:t>
      </w:r>
      <w:r w:rsidRPr="00C10A99">
        <w:t>ps</w:t>
      </w:r>
    </w:p>
    <w:p w:rsidR="0088150A" w:rsidRDefault="0088150A" w:rsidP="00B01F78">
      <w:r w:rsidRPr="00EF5F33">
        <w:t xml:space="preserve">Analysis of Ministry gambling service administrative data </w:t>
      </w:r>
      <w:r>
        <w:t xml:space="preserve">for 2017/18 and 2016/17 </w:t>
      </w:r>
      <w:r w:rsidRPr="008F7AC7">
        <w:t xml:space="preserve">shows that </w:t>
      </w:r>
      <w:r w:rsidRPr="00EF5F33">
        <w:t xml:space="preserve">the </w:t>
      </w:r>
      <w:r>
        <w:t xml:space="preserve">number of gamblers seeking treatment continues to decline, despite the increase in real numbers of people experiencing gambling harm. Table 14 shows the composition of </w:t>
      </w:r>
      <w:r w:rsidRPr="00EF5F33">
        <w:t>gamblers who sought treatment</w:t>
      </w:r>
      <w:r>
        <w:t>.</w:t>
      </w:r>
    </w:p>
    <w:p w:rsidR="0088150A" w:rsidRDefault="0088150A" w:rsidP="00B01F78"/>
    <w:p w:rsidR="0088150A" w:rsidRPr="00ED2790" w:rsidRDefault="0088150A" w:rsidP="005A26D2">
      <w:pPr>
        <w:pStyle w:val="Table"/>
      </w:pPr>
      <w:bookmarkStart w:id="165" w:name="_Toc4156632"/>
      <w:bookmarkStart w:id="166" w:name="_Toc8398932"/>
      <w:r w:rsidRPr="00ED2790">
        <w:t xml:space="preserve">Table </w:t>
      </w:r>
      <w:r w:rsidR="00762F08">
        <w:rPr>
          <w:noProof/>
        </w:rPr>
        <w:fldChar w:fldCharType="begin"/>
      </w:r>
      <w:r w:rsidR="00762F08">
        <w:rPr>
          <w:noProof/>
        </w:rPr>
        <w:instrText xml:space="preserve"> SEQ Table \* ARABIC </w:instrText>
      </w:r>
      <w:r w:rsidR="00762F08">
        <w:rPr>
          <w:noProof/>
        </w:rPr>
        <w:fldChar w:fldCharType="separate"/>
      </w:r>
      <w:r w:rsidR="0002049A">
        <w:rPr>
          <w:noProof/>
        </w:rPr>
        <w:t>14</w:t>
      </w:r>
      <w:r w:rsidR="00762F08">
        <w:rPr>
          <w:noProof/>
        </w:rPr>
        <w:fldChar w:fldCharType="end"/>
      </w:r>
      <w:r>
        <w:t>:</w:t>
      </w:r>
      <w:r w:rsidRPr="00ED2790">
        <w:t xml:space="preserve"> Composition of people seeking treatment for gambling</w:t>
      </w:r>
      <w:r>
        <w:t>-</w:t>
      </w:r>
      <w:r w:rsidRPr="00ED2790">
        <w:t>related harm</w:t>
      </w:r>
      <w:r>
        <w:t>, 2016/17–2017/18</w:t>
      </w:r>
      <w:bookmarkEnd w:id="165"/>
      <w:bookmarkEnd w:id="166"/>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544"/>
        <w:gridCol w:w="1550"/>
        <w:gridCol w:w="1550"/>
      </w:tblGrid>
      <w:tr w:rsidR="0088150A" w:rsidRPr="00B01F78" w:rsidTr="0062363F">
        <w:trPr>
          <w:cantSplit/>
        </w:trPr>
        <w:tc>
          <w:tcPr>
            <w:tcW w:w="3544" w:type="dxa"/>
            <w:tcBorders>
              <w:top w:val="nil"/>
              <w:bottom w:val="nil"/>
            </w:tcBorders>
            <w:shd w:val="clear" w:color="auto" w:fill="D9D9D9" w:themeFill="background1" w:themeFillShade="D9"/>
          </w:tcPr>
          <w:p w:rsidR="0088150A" w:rsidRPr="00B01F78" w:rsidRDefault="0088150A" w:rsidP="00B01F78">
            <w:pPr>
              <w:pStyle w:val="TableText"/>
              <w:keepNext/>
              <w:spacing w:before="50" w:after="50"/>
              <w:rPr>
                <w:b/>
              </w:rPr>
            </w:pPr>
            <w:r w:rsidRPr="00B01F78">
              <w:rPr>
                <w:b/>
              </w:rPr>
              <w:t>Year</w:t>
            </w:r>
          </w:p>
        </w:tc>
        <w:tc>
          <w:tcPr>
            <w:tcW w:w="1550" w:type="dxa"/>
            <w:tcBorders>
              <w:top w:val="nil"/>
              <w:bottom w:val="nil"/>
            </w:tcBorders>
            <w:shd w:val="clear" w:color="auto" w:fill="D9D9D9" w:themeFill="background1" w:themeFillShade="D9"/>
          </w:tcPr>
          <w:p w:rsidR="0088150A" w:rsidRPr="00B01F78" w:rsidRDefault="0088150A" w:rsidP="00B01F78">
            <w:pPr>
              <w:pStyle w:val="TableText"/>
              <w:keepNext/>
              <w:spacing w:before="50" w:after="50"/>
              <w:jc w:val="center"/>
              <w:rPr>
                <w:b/>
              </w:rPr>
            </w:pPr>
            <w:r w:rsidRPr="00B01F78">
              <w:rPr>
                <w:b/>
              </w:rPr>
              <w:t>2016/17</w:t>
            </w:r>
          </w:p>
        </w:tc>
        <w:tc>
          <w:tcPr>
            <w:tcW w:w="1550" w:type="dxa"/>
            <w:tcBorders>
              <w:top w:val="nil"/>
              <w:bottom w:val="nil"/>
            </w:tcBorders>
            <w:shd w:val="clear" w:color="auto" w:fill="D9D9D9" w:themeFill="background1" w:themeFillShade="D9"/>
          </w:tcPr>
          <w:p w:rsidR="0088150A" w:rsidRPr="00B01F78" w:rsidRDefault="0088150A" w:rsidP="00B01F78">
            <w:pPr>
              <w:pStyle w:val="TableText"/>
              <w:keepNext/>
              <w:spacing w:before="50" w:after="50"/>
              <w:jc w:val="center"/>
              <w:rPr>
                <w:b/>
              </w:rPr>
            </w:pPr>
            <w:r w:rsidRPr="00B01F78">
              <w:rPr>
                <w:b/>
              </w:rPr>
              <w:t>2017/18</w:t>
            </w:r>
          </w:p>
        </w:tc>
      </w:tr>
      <w:tr w:rsidR="0088150A" w:rsidRPr="001262A8" w:rsidTr="0062363F">
        <w:trPr>
          <w:cantSplit/>
        </w:trPr>
        <w:tc>
          <w:tcPr>
            <w:tcW w:w="3544" w:type="dxa"/>
            <w:tcBorders>
              <w:top w:val="nil"/>
            </w:tcBorders>
          </w:tcPr>
          <w:p w:rsidR="0088150A" w:rsidRPr="0052418F" w:rsidRDefault="0088150A" w:rsidP="00B01F78">
            <w:pPr>
              <w:pStyle w:val="TableText"/>
              <w:keepNext/>
              <w:spacing w:before="50" w:after="50"/>
            </w:pPr>
            <w:r w:rsidRPr="0052418F">
              <w:t>Total seeking treatment</w:t>
            </w:r>
          </w:p>
        </w:tc>
        <w:tc>
          <w:tcPr>
            <w:tcW w:w="1550" w:type="dxa"/>
            <w:tcBorders>
              <w:top w:val="nil"/>
            </w:tcBorders>
          </w:tcPr>
          <w:p w:rsidR="0088150A" w:rsidRPr="00ED2790" w:rsidRDefault="0088150A" w:rsidP="00B01F78">
            <w:pPr>
              <w:pStyle w:val="TableText"/>
              <w:keepNext/>
              <w:spacing w:before="50" w:after="50"/>
              <w:jc w:val="center"/>
            </w:pPr>
            <w:r w:rsidRPr="00ED2790">
              <w:t>6</w:t>
            </w:r>
            <w:r w:rsidR="00B01F78">
              <w:t>,</w:t>
            </w:r>
            <w:r w:rsidRPr="00ED2790">
              <w:t>300</w:t>
            </w:r>
          </w:p>
        </w:tc>
        <w:tc>
          <w:tcPr>
            <w:tcW w:w="1550" w:type="dxa"/>
            <w:tcBorders>
              <w:top w:val="nil"/>
            </w:tcBorders>
          </w:tcPr>
          <w:p w:rsidR="0088150A" w:rsidRPr="00ED2790" w:rsidRDefault="0088150A" w:rsidP="00B01F78">
            <w:pPr>
              <w:pStyle w:val="TableText"/>
              <w:keepNext/>
              <w:spacing w:before="50" w:after="50"/>
              <w:jc w:val="center"/>
            </w:pPr>
            <w:r w:rsidRPr="00ED2790">
              <w:t>5</w:t>
            </w:r>
            <w:r w:rsidR="00B01F78">
              <w:t>,</w:t>
            </w:r>
            <w:r w:rsidRPr="00ED2790">
              <w:t>400</w:t>
            </w:r>
          </w:p>
        </w:tc>
      </w:tr>
      <w:tr w:rsidR="0088150A" w:rsidRPr="001262A8" w:rsidTr="00B01F78">
        <w:trPr>
          <w:cantSplit/>
        </w:trPr>
        <w:tc>
          <w:tcPr>
            <w:tcW w:w="3544" w:type="dxa"/>
          </w:tcPr>
          <w:p w:rsidR="0088150A" w:rsidRPr="0052418F" w:rsidRDefault="0088150A" w:rsidP="00B01F78">
            <w:pPr>
              <w:pStyle w:val="TableText"/>
              <w:keepNext/>
              <w:spacing w:before="50" w:after="50"/>
            </w:pPr>
            <w:r>
              <w:t>P</w:t>
            </w:r>
            <w:r w:rsidRPr="0052418F">
              <w:t>ercent identifying as European/other</w:t>
            </w:r>
          </w:p>
        </w:tc>
        <w:tc>
          <w:tcPr>
            <w:tcW w:w="1550" w:type="dxa"/>
          </w:tcPr>
          <w:p w:rsidR="0088150A" w:rsidRPr="0052418F" w:rsidRDefault="0088150A" w:rsidP="00B01F78">
            <w:pPr>
              <w:pStyle w:val="TableText"/>
              <w:keepNext/>
              <w:tabs>
                <w:tab w:val="decimal" w:pos="732"/>
              </w:tabs>
              <w:spacing w:before="50" w:after="50"/>
            </w:pPr>
            <w:r w:rsidRPr="0052418F">
              <w:t>38.1</w:t>
            </w:r>
          </w:p>
        </w:tc>
        <w:tc>
          <w:tcPr>
            <w:tcW w:w="1550" w:type="dxa"/>
          </w:tcPr>
          <w:p w:rsidR="0088150A" w:rsidRPr="0052418F" w:rsidRDefault="0088150A" w:rsidP="00B01F78">
            <w:pPr>
              <w:pStyle w:val="TableText"/>
              <w:keepNext/>
              <w:tabs>
                <w:tab w:val="decimal" w:pos="732"/>
              </w:tabs>
              <w:spacing w:before="50" w:after="50"/>
            </w:pPr>
            <w:r w:rsidRPr="0052418F">
              <w:t>39.3</w:t>
            </w:r>
          </w:p>
        </w:tc>
      </w:tr>
      <w:tr w:rsidR="0088150A" w:rsidRPr="001262A8" w:rsidTr="00B01F78">
        <w:trPr>
          <w:cantSplit/>
        </w:trPr>
        <w:tc>
          <w:tcPr>
            <w:tcW w:w="3544" w:type="dxa"/>
          </w:tcPr>
          <w:p w:rsidR="0088150A" w:rsidRPr="0052418F" w:rsidRDefault="0088150A" w:rsidP="00B01F78">
            <w:pPr>
              <w:pStyle w:val="TableText"/>
              <w:keepNext/>
              <w:spacing w:before="50" w:after="50"/>
            </w:pPr>
            <w:r>
              <w:t>P</w:t>
            </w:r>
            <w:r w:rsidRPr="0052418F">
              <w:t>ercent identifying as Māori</w:t>
            </w:r>
          </w:p>
        </w:tc>
        <w:tc>
          <w:tcPr>
            <w:tcW w:w="1550" w:type="dxa"/>
          </w:tcPr>
          <w:p w:rsidR="0088150A" w:rsidRPr="0052418F" w:rsidRDefault="0088150A" w:rsidP="00B01F78">
            <w:pPr>
              <w:pStyle w:val="TableText"/>
              <w:keepNext/>
              <w:tabs>
                <w:tab w:val="decimal" w:pos="732"/>
              </w:tabs>
              <w:spacing w:before="50" w:after="50"/>
            </w:pPr>
            <w:r w:rsidRPr="0052418F">
              <w:t>33.0</w:t>
            </w:r>
          </w:p>
        </w:tc>
        <w:tc>
          <w:tcPr>
            <w:tcW w:w="1550" w:type="dxa"/>
          </w:tcPr>
          <w:p w:rsidR="0088150A" w:rsidRPr="0052418F" w:rsidRDefault="0088150A" w:rsidP="00B01F78">
            <w:pPr>
              <w:pStyle w:val="TableText"/>
              <w:keepNext/>
              <w:tabs>
                <w:tab w:val="decimal" w:pos="732"/>
              </w:tabs>
              <w:spacing w:before="50" w:after="50"/>
            </w:pPr>
            <w:r w:rsidRPr="0052418F">
              <w:t>31.0</w:t>
            </w:r>
          </w:p>
        </w:tc>
      </w:tr>
      <w:tr w:rsidR="0088150A" w:rsidRPr="001262A8" w:rsidTr="00B01F78">
        <w:trPr>
          <w:cantSplit/>
        </w:trPr>
        <w:tc>
          <w:tcPr>
            <w:tcW w:w="3544" w:type="dxa"/>
          </w:tcPr>
          <w:p w:rsidR="0088150A" w:rsidRPr="0052418F" w:rsidRDefault="0088150A" w:rsidP="00B01F78">
            <w:pPr>
              <w:pStyle w:val="TableText"/>
              <w:keepNext/>
              <w:spacing w:before="50" w:after="50"/>
            </w:pPr>
            <w:r>
              <w:t>P</w:t>
            </w:r>
            <w:r w:rsidRPr="0052418F">
              <w:t>ercent identifying as Pacific</w:t>
            </w:r>
          </w:p>
        </w:tc>
        <w:tc>
          <w:tcPr>
            <w:tcW w:w="1550" w:type="dxa"/>
          </w:tcPr>
          <w:p w:rsidR="0088150A" w:rsidRPr="0052418F" w:rsidRDefault="0088150A" w:rsidP="00B01F78">
            <w:pPr>
              <w:pStyle w:val="TableText"/>
              <w:keepNext/>
              <w:tabs>
                <w:tab w:val="decimal" w:pos="732"/>
              </w:tabs>
              <w:spacing w:before="50" w:after="50"/>
            </w:pPr>
            <w:r w:rsidRPr="0052418F">
              <w:t>21.2</w:t>
            </w:r>
          </w:p>
        </w:tc>
        <w:tc>
          <w:tcPr>
            <w:tcW w:w="1550" w:type="dxa"/>
          </w:tcPr>
          <w:p w:rsidR="0088150A" w:rsidRPr="0052418F" w:rsidRDefault="0088150A" w:rsidP="00B01F78">
            <w:pPr>
              <w:pStyle w:val="TableText"/>
              <w:keepNext/>
              <w:tabs>
                <w:tab w:val="decimal" w:pos="732"/>
              </w:tabs>
              <w:spacing w:before="50" w:after="50"/>
            </w:pPr>
            <w:r w:rsidRPr="0052418F">
              <w:t>21.2</w:t>
            </w:r>
          </w:p>
        </w:tc>
      </w:tr>
      <w:tr w:rsidR="0088150A" w:rsidRPr="001262A8" w:rsidTr="00B01F78">
        <w:trPr>
          <w:cantSplit/>
        </w:trPr>
        <w:tc>
          <w:tcPr>
            <w:tcW w:w="3544" w:type="dxa"/>
          </w:tcPr>
          <w:p w:rsidR="0088150A" w:rsidRPr="0052418F" w:rsidRDefault="0088150A" w:rsidP="00B01F78">
            <w:pPr>
              <w:pStyle w:val="TableText"/>
              <w:spacing w:before="50" w:after="50"/>
            </w:pPr>
            <w:r>
              <w:t>P</w:t>
            </w:r>
            <w:r w:rsidRPr="0052418F">
              <w:t>ercent identifying as East</w:t>
            </w:r>
            <w:r>
              <w:t>-</w:t>
            </w:r>
            <w:r w:rsidRPr="0052418F">
              <w:t>Asian</w:t>
            </w:r>
          </w:p>
        </w:tc>
        <w:tc>
          <w:tcPr>
            <w:tcW w:w="1550" w:type="dxa"/>
          </w:tcPr>
          <w:p w:rsidR="0088150A" w:rsidRPr="0052418F" w:rsidRDefault="0088150A" w:rsidP="00B01F78">
            <w:pPr>
              <w:pStyle w:val="TableText"/>
              <w:tabs>
                <w:tab w:val="decimal" w:pos="732"/>
              </w:tabs>
              <w:spacing w:before="50" w:after="50"/>
            </w:pPr>
            <w:r w:rsidRPr="0052418F">
              <w:t>7.7</w:t>
            </w:r>
          </w:p>
        </w:tc>
        <w:tc>
          <w:tcPr>
            <w:tcW w:w="1550" w:type="dxa"/>
          </w:tcPr>
          <w:p w:rsidR="0088150A" w:rsidRPr="0052418F" w:rsidRDefault="0088150A" w:rsidP="00B01F78">
            <w:pPr>
              <w:pStyle w:val="TableText"/>
              <w:tabs>
                <w:tab w:val="decimal" w:pos="732"/>
              </w:tabs>
              <w:spacing w:before="50" w:after="50"/>
            </w:pPr>
            <w:r w:rsidRPr="0052418F">
              <w:t>8.5</w:t>
            </w:r>
          </w:p>
        </w:tc>
      </w:tr>
      <w:tr w:rsidR="0088150A" w:rsidRPr="001262A8" w:rsidTr="00B01F78">
        <w:trPr>
          <w:cantSplit/>
        </w:trPr>
        <w:tc>
          <w:tcPr>
            <w:tcW w:w="3544" w:type="dxa"/>
          </w:tcPr>
          <w:p w:rsidR="0088150A" w:rsidRPr="0052418F" w:rsidRDefault="0088150A" w:rsidP="00B01F78">
            <w:pPr>
              <w:pStyle w:val="TableText"/>
              <w:spacing w:before="50" w:after="50"/>
            </w:pPr>
            <w:r>
              <w:t>P</w:t>
            </w:r>
            <w:r w:rsidRPr="0052418F">
              <w:t xml:space="preserve">ercent </w:t>
            </w:r>
            <w:r>
              <w:t xml:space="preserve">who </w:t>
            </w:r>
            <w:r w:rsidRPr="0052418F">
              <w:t xml:space="preserve">were </w:t>
            </w:r>
            <w:r w:rsidR="00B01F78">
              <w:t>male</w:t>
            </w:r>
          </w:p>
        </w:tc>
        <w:tc>
          <w:tcPr>
            <w:tcW w:w="1550" w:type="dxa"/>
          </w:tcPr>
          <w:p w:rsidR="0088150A" w:rsidRPr="0052418F" w:rsidRDefault="0088150A" w:rsidP="00B01F78">
            <w:pPr>
              <w:pStyle w:val="TableText"/>
              <w:tabs>
                <w:tab w:val="decimal" w:pos="732"/>
              </w:tabs>
              <w:spacing w:before="50" w:after="50"/>
            </w:pPr>
            <w:r w:rsidRPr="0052418F">
              <w:t>53.1</w:t>
            </w:r>
          </w:p>
        </w:tc>
        <w:tc>
          <w:tcPr>
            <w:tcW w:w="1550" w:type="dxa"/>
          </w:tcPr>
          <w:p w:rsidR="0088150A" w:rsidRPr="0052418F" w:rsidRDefault="0088150A" w:rsidP="00B01F78">
            <w:pPr>
              <w:pStyle w:val="TableText"/>
              <w:tabs>
                <w:tab w:val="decimal" w:pos="732"/>
              </w:tabs>
              <w:spacing w:before="50" w:after="50"/>
            </w:pPr>
            <w:r w:rsidRPr="0052418F">
              <w:t>56.1</w:t>
            </w:r>
          </w:p>
        </w:tc>
      </w:tr>
    </w:tbl>
    <w:p w:rsidR="0088150A" w:rsidRPr="00EF5F33" w:rsidRDefault="0088150A" w:rsidP="00B01F78"/>
    <w:p w:rsidR="0088150A" w:rsidRDefault="0088150A" w:rsidP="00B01F78">
      <w:r>
        <w:lastRenderedPageBreak/>
        <w:t>From the review of outcomes and research noted earlier, the following is evident.</w:t>
      </w:r>
    </w:p>
    <w:p w:rsidR="0088150A" w:rsidRPr="00EF5F33" w:rsidRDefault="0088150A" w:rsidP="00B01F78">
      <w:pPr>
        <w:pStyle w:val="Bullet"/>
      </w:pPr>
      <w:r>
        <w:t xml:space="preserve">The </w:t>
      </w:r>
      <w:r w:rsidRPr="00EF5F33">
        <w:t>number of Māori accessing intervention services has remained relatively high (in line with the relatively high vulnerability of Māori to gambling harm) since 2008</w:t>
      </w:r>
      <w:r>
        <w:t>.</w:t>
      </w:r>
    </w:p>
    <w:p w:rsidR="0088150A" w:rsidRPr="00EF5F33" w:rsidRDefault="0088150A" w:rsidP="00B01F78">
      <w:pPr>
        <w:pStyle w:val="Bullet"/>
      </w:pPr>
      <w:r w:rsidRPr="00EF5F33">
        <w:t>M</w:t>
      </w:r>
      <w:r>
        <w:t>ā</w:t>
      </w:r>
      <w:r w:rsidRPr="00EF5F33">
        <w:t>ori are accessing services at a rate roughly equivalent to their proportion of reported risky gambling behaviour and harm</w:t>
      </w:r>
      <w:r>
        <w:t>.</w:t>
      </w:r>
    </w:p>
    <w:p w:rsidR="0088150A" w:rsidRPr="00EF5F33" w:rsidRDefault="0088150A" w:rsidP="002B4C78">
      <w:pPr>
        <w:pStyle w:val="Bullet"/>
        <w:keepNext/>
      </w:pPr>
      <w:r>
        <w:t xml:space="preserve">The </w:t>
      </w:r>
      <w:r w:rsidRPr="00EF5F33">
        <w:t>number of Pacific people</w:t>
      </w:r>
      <w:r w:rsidR="00AB1C7E">
        <w:t>s</w:t>
      </w:r>
      <w:r w:rsidRPr="00EF5F33">
        <w:t xml:space="preserve"> accessing intervention services has increased substantially since 2012, so that the figure now more closely reflect</w:t>
      </w:r>
      <w:r>
        <w:t>s</w:t>
      </w:r>
      <w:r w:rsidRPr="00EF5F33">
        <w:t xml:space="preserve"> the relatively high vulnerability of Pacific people</w:t>
      </w:r>
      <w:r w:rsidR="00AB1C7E">
        <w:t>s</w:t>
      </w:r>
      <w:r w:rsidRPr="00EF5F33">
        <w:t xml:space="preserve"> to gambling harm</w:t>
      </w:r>
      <w:r>
        <w:t>.</w:t>
      </w:r>
    </w:p>
    <w:p w:rsidR="0088150A" w:rsidRDefault="0088150A" w:rsidP="00B01F78">
      <w:pPr>
        <w:pStyle w:val="Bullet"/>
      </w:pPr>
      <w:r>
        <w:t xml:space="preserve">The </w:t>
      </w:r>
      <w:r w:rsidRPr="00EF5F33">
        <w:t>number of Asian people</w:t>
      </w:r>
      <w:r w:rsidR="00AB1C7E">
        <w:t>s</w:t>
      </w:r>
      <w:r w:rsidRPr="00EF5F33">
        <w:t xml:space="preserve"> and those under 25 years of age reporting service use </w:t>
      </w:r>
      <w:r>
        <w:t>is</w:t>
      </w:r>
      <w:r w:rsidRPr="00EF5F33">
        <w:t xml:space="preserve"> lower than one might expect based on research estimates.</w:t>
      </w:r>
    </w:p>
    <w:p w:rsidR="00B01F78" w:rsidRDefault="00B01F78" w:rsidP="00B01F78"/>
    <w:p w:rsidR="00A10EC0" w:rsidRDefault="0088150A" w:rsidP="00B01F78">
      <w:r>
        <w:t>Submissions on the strategy indicated that cultural and linguistic barriers to accessing public health and intervention services persist.</w:t>
      </w:r>
    </w:p>
    <w:p w:rsidR="0088150A" w:rsidRPr="00C10A99" w:rsidRDefault="0088150A" w:rsidP="00B01F78">
      <w:pPr>
        <w:pStyle w:val="Heading4"/>
      </w:pPr>
      <w:r w:rsidRPr="00C10A99">
        <w:t>Research and evaluation</w:t>
      </w:r>
    </w:p>
    <w:p w:rsidR="0088150A" w:rsidRPr="00C10A99" w:rsidRDefault="0088150A" w:rsidP="00B01F78">
      <w:r w:rsidRPr="00C10A99">
        <w:t>In the 2016/17 to 20</w:t>
      </w:r>
      <w:r>
        <w:t>17/</w:t>
      </w:r>
      <w:r w:rsidRPr="00C10A99">
        <w:t>18 period, work in research and evaluation included:</w:t>
      </w:r>
    </w:p>
    <w:p w:rsidR="0088150A" w:rsidRPr="00C10A99" w:rsidRDefault="0088150A" w:rsidP="00B01F78">
      <w:pPr>
        <w:pStyle w:val="Bullet"/>
      </w:pPr>
      <w:r>
        <w:t>completing the</w:t>
      </w:r>
      <w:r w:rsidRPr="00C10A99">
        <w:t xml:space="preserve"> four</w:t>
      </w:r>
      <w:r>
        <w:t>th</w:t>
      </w:r>
      <w:r w:rsidRPr="00C10A99">
        <w:t xml:space="preserve"> data collection wave and </w:t>
      </w:r>
      <w:r>
        <w:t xml:space="preserve">associated </w:t>
      </w:r>
      <w:r w:rsidRPr="00C10A99">
        <w:t xml:space="preserve">report for the </w:t>
      </w:r>
      <w:r>
        <w:t>NGS</w:t>
      </w:r>
      <w:r w:rsidRPr="00C10A99">
        <w:t>, which comprises a longitudinal cohort study of gambling participation and harm</w:t>
      </w:r>
    </w:p>
    <w:p w:rsidR="0088150A" w:rsidRPr="00C10A99" w:rsidRDefault="0088150A" w:rsidP="00B01F78">
      <w:pPr>
        <w:pStyle w:val="Bullet"/>
      </w:pPr>
      <w:r>
        <w:t>t</w:t>
      </w:r>
      <w:r w:rsidRPr="00C10A99">
        <w:t>he biennial gambling module in the</w:t>
      </w:r>
      <w:r w:rsidR="00A10EC0">
        <w:t xml:space="preserve"> </w:t>
      </w:r>
      <w:r>
        <w:t>HLS (a</w:t>
      </w:r>
      <w:r w:rsidRPr="00C10A99">
        <w:t>dditional meta-analysis comprising analysis of pooled data, change over time and evidence for inequalities in gambling harm has been commissioned and reported</w:t>
      </w:r>
      <w:r>
        <w:t>)</w:t>
      </w:r>
    </w:p>
    <w:p w:rsidR="0088150A" w:rsidRPr="00C10A99" w:rsidRDefault="0088150A" w:rsidP="00B01F78">
      <w:pPr>
        <w:pStyle w:val="Bullet"/>
      </w:pPr>
      <w:r>
        <w:t xml:space="preserve">the University of </w:t>
      </w:r>
      <w:r w:rsidRPr="00C10A99">
        <w:t>Auckland</w:t>
      </w:r>
      <w:r w:rsidR="00A10EC0">
        <w:t>’</w:t>
      </w:r>
      <w:r>
        <w:t>s</w:t>
      </w:r>
      <w:r w:rsidRPr="00C10A99">
        <w:t xml:space="preserve"> develop</w:t>
      </w:r>
      <w:r>
        <w:t xml:space="preserve">ment and trial of </w:t>
      </w:r>
      <w:r w:rsidRPr="00C10A99">
        <w:t xml:space="preserve">a </w:t>
      </w:r>
      <w:r>
        <w:t>smart</w:t>
      </w:r>
      <w:r w:rsidRPr="00C10A99">
        <w:t>phone</w:t>
      </w:r>
      <w:r>
        <w:t>-</w:t>
      </w:r>
      <w:r w:rsidRPr="00C10A99">
        <w:t xml:space="preserve">based app </w:t>
      </w:r>
      <w:r>
        <w:t xml:space="preserve">that provides timely messages to at-risk gamblers who have sought help </w:t>
      </w:r>
      <w:r w:rsidRPr="00C10A99">
        <w:t>(the SPAGeTTI Trial)</w:t>
      </w:r>
    </w:p>
    <w:p w:rsidR="0088150A" w:rsidRDefault="0088150A" w:rsidP="00B01F78">
      <w:pPr>
        <w:pStyle w:val="Bullet"/>
      </w:pPr>
      <w:r>
        <w:t>c</w:t>
      </w:r>
      <w:r w:rsidRPr="00C10A99">
        <w:t>linical evaluation by AUT</w:t>
      </w:r>
      <w:r>
        <w:t xml:space="preserve"> </w:t>
      </w:r>
      <w:r w:rsidRPr="00C10A99">
        <w:t xml:space="preserve">of a range </w:t>
      </w:r>
      <w:r>
        <w:t xml:space="preserve">of </w:t>
      </w:r>
      <w:r w:rsidRPr="00C10A99">
        <w:t>interventions</w:t>
      </w:r>
    </w:p>
    <w:p w:rsidR="0088150A" w:rsidRPr="00C10A99" w:rsidRDefault="0088150A" w:rsidP="00B01F78">
      <w:pPr>
        <w:pStyle w:val="Bullet"/>
      </w:pPr>
      <w:r>
        <w:t>t</w:t>
      </w:r>
      <w:r w:rsidRPr="00C10A99">
        <w:t xml:space="preserve">he Central Queensland University </w:t>
      </w:r>
      <w:r>
        <w:t xml:space="preserve">Australia </w:t>
      </w:r>
      <w:r w:rsidRPr="00C10A99">
        <w:t xml:space="preserve">and AUT study on the </w:t>
      </w:r>
      <w:r w:rsidRPr="007161AD">
        <w:t>Burden of Gambling Harm</w:t>
      </w:r>
      <w:r w:rsidRPr="00C10A99">
        <w:t xml:space="preserve">, which used the </w:t>
      </w:r>
      <w:r>
        <w:t>d</w:t>
      </w:r>
      <w:r w:rsidRPr="007161AD">
        <w:t>isability-</w:t>
      </w:r>
      <w:r>
        <w:t>a</w:t>
      </w:r>
      <w:r w:rsidRPr="007161AD">
        <w:t xml:space="preserve">djusted </w:t>
      </w:r>
      <w:r>
        <w:t>l</w:t>
      </w:r>
      <w:r w:rsidRPr="007161AD">
        <w:t xml:space="preserve">ife </w:t>
      </w:r>
      <w:r>
        <w:t>y</w:t>
      </w:r>
      <w:r w:rsidRPr="007161AD">
        <w:t>ear</w:t>
      </w:r>
      <w:r w:rsidRPr="00252C71">
        <w:rPr>
          <w:i/>
        </w:rPr>
        <w:t xml:space="preserve"> </w:t>
      </w:r>
      <w:r w:rsidRPr="00C10A99">
        <w:t xml:space="preserve">measure to understand the level of harm associated with gambling in the population </w:t>
      </w:r>
      <w:r>
        <w:t>(t</w:t>
      </w:r>
      <w:r w:rsidRPr="00C10A99">
        <w:t>his approach is novel to the gambling research field</w:t>
      </w:r>
      <w:r>
        <w:t>,</w:t>
      </w:r>
      <w:r w:rsidRPr="00C10A99">
        <w:t xml:space="preserve"> and provides an alternative measure of harm compared </w:t>
      </w:r>
      <w:r>
        <w:t>with</w:t>
      </w:r>
      <w:r w:rsidRPr="00C10A99">
        <w:t xml:space="preserve"> the limited and more clinically orientated measure in the PGSI scale</w:t>
      </w:r>
      <w:r>
        <w:t>)</w:t>
      </w:r>
    </w:p>
    <w:p w:rsidR="0088150A" w:rsidRDefault="001E7E29" w:rsidP="0088150A">
      <w:pPr>
        <w:pStyle w:val="Bullet"/>
        <w:spacing w:line="264" w:lineRule="auto"/>
      </w:pPr>
      <w:r>
        <w:t>c</w:t>
      </w:r>
      <w:r w:rsidR="0088150A" w:rsidRPr="00C10A99">
        <w:t xml:space="preserve">ommissioning </w:t>
      </w:r>
      <w:r w:rsidR="0088150A">
        <w:t xml:space="preserve">research </w:t>
      </w:r>
      <w:r w:rsidR="0088150A" w:rsidRPr="00C10A99">
        <w:t>from the Pacific Island Famil</w:t>
      </w:r>
      <w:r w:rsidR="0088150A">
        <w:t>ies</w:t>
      </w:r>
      <w:r w:rsidR="0088150A" w:rsidRPr="00C10A99">
        <w:t xml:space="preserve"> Study, </w:t>
      </w:r>
      <w:r w:rsidR="0088150A">
        <w:t xml:space="preserve">to </w:t>
      </w:r>
      <w:r w:rsidR="0088150A" w:rsidRPr="00C10A99">
        <w:t>study exposure</w:t>
      </w:r>
      <w:r w:rsidR="0088150A">
        <w:t xml:space="preserve"> to gambling among </w:t>
      </w:r>
      <w:r w:rsidR="0088150A" w:rsidRPr="00C10A99">
        <w:t xml:space="preserve">Pacific </w:t>
      </w:r>
      <w:r w:rsidR="0088150A">
        <w:t>y</w:t>
      </w:r>
      <w:r w:rsidR="0088150A" w:rsidRPr="00C10A99">
        <w:t>outh aged under 17 years.</w:t>
      </w:r>
    </w:p>
    <w:p w:rsidR="0088150A" w:rsidRPr="00C10A99" w:rsidRDefault="0088150A" w:rsidP="0088150A"/>
    <w:p w:rsidR="0088150A" w:rsidRPr="00C10A99" w:rsidRDefault="0088150A" w:rsidP="00B01F78">
      <w:r w:rsidRPr="00C10A99">
        <w:t>Other significant evaluations that have commenced in the last 12 months include:</w:t>
      </w:r>
    </w:p>
    <w:p w:rsidR="0088150A" w:rsidRDefault="0088150A" w:rsidP="00B01F78">
      <w:pPr>
        <w:pStyle w:val="Bullet"/>
      </w:pPr>
      <w:r w:rsidRPr="00C10A99">
        <w:t xml:space="preserve">AUT and the </w:t>
      </w:r>
      <w:r>
        <w:t>Problem Gambling Foundation of New Zealand (</w:t>
      </w:r>
      <w:r w:rsidRPr="00C10A99">
        <w:t>PGF</w:t>
      </w:r>
      <w:r>
        <w:t>)</w:t>
      </w:r>
      <w:r w:rsidR="00A10EC0">
        <w:t>’</w:t>
      </w:r>
      <w:r>
        <w:t>s</w:t>
      </w:r>
      <w:r w:rsidRPr="00C10A99">
        <w:t xml:space="preserve"> evaluation of the P</w:t>
      </w:r>
      <w:r>
        <w:t>artners for Change Outcome Management System</w:t>
      </w:r>
    </w:p>
    <w:p w:rsidR="0088150A" w:rsidRPr="00C10A99" w:rsidRDefault="0088150A" w:rsidP="00B01F78">
      <w:pPr>
        <w:pStyle w:val="Bullet"/>
      </w:pPr>
      <w:r w:rsidRPr="00C10A99">
        <w:t>Malatest International</w:t>
      </w:r>
      <w:r w:rsidR="00A10EC0">
        <w:t>’</w:t>
      </w:r>
      <w:r>
        <w:t>s</w:t>
      </w:r>
      <w:r w:rsidRPr="00C10A99">
        <w:t xml:space="preserve"> evaluation of the Sorted Whānau financial literacy intervention with </w:t>
      </w:r>
      <w:r>
        <w:t xml:space="preserve">Māori and Pacific </w:t>
      </w:r>
      <w:r w:rsidRPr="00C10A99">
        <w:t>at</w:t>
      </w:r>
      <w:r>
        <w:t>-</w:t>
      </w:r>
      <w:r w:rsidRPr="00C10A99">
        <w:t>risk</w:t>
      </w:r>
      <w:r>
        <w:t xml:space="preserve"> </w:t>
      </w:r>
      <w:r w:rsidRPr="00C10A99">
        <w:t>population groups</w:t>
      </w:r>
    </w:p>
    <w:p w:rsidR="0088150A" w:rsidRDefault="0088150A" w:rsidP="00B01F78">
      <w:pPr>
        <w:pStyle w:val="Bullet"/>
      </w:pPr>
      <w:r w:rsidRPr="00C10A99">
        <w:t>Malatest International</w:t>
      </w:r>
      <w:r w:rsidR="00A10EC0">
        <w:t>’</w:t>
      </w:r>
      <w:r>
        <w:t>s</w:t>
      </w:r>
      <w:r w:rsidRPr="00C10A99">
        <w:t xml:space="preserve"> evaluation of the efficacy of the Hawke</w:t>
      </w:r>
      <w:r w:rsidR="00A10EC0">
        <w:t>’</w:t>
      </w:r>
      <w:r w:rsidRPr="00C10A99">
        <w:t>s</w:t>
      </w:r>
      <w:r>
        <w:t xml:space="preserve"> </w:t>
      </w:r>
      <w:r w:rsidRPr="00C10A99">
        <w:t xml:space="preserve">Bay </w:t>
      </w:r>
      <w:r>
        <w:t>MVE p</w:t>
      </w:r>
      <w:r w:rsidRPr="00C10A99">
        <w:t>rocess for M</w:t>
      </w:r>
      <w:r>
        <w:t>ā</w:t>
      </w:r>
      <w:r w:rsidRPr="00C10A99">
        <w:t xml:space="preserve">ori and </w:t>
      </w:r>
      <w:r>
        <w:t xml:space="preserve">Pacific </w:t>
      </w:r>
      <w:r w:rsidR="00A10EC0">
        <w:t>‘</w:t>
      </w:r>
      <w:r w:rsidRPr="00C10A99">
        <w:t>exclude</w:t>
      </w:r>
      <w:r>
        <w:t>e</w:t>
      </w:r>
      <w:r w:rsidRPr="00C10A99">
        <w:t>s</w:t>
      </w:r>
      <w:r w:rsidR="00A10EC0">
        <w:t>’</w:t>
      </w:r>
      <w:r w:rsidRPr="00C10A99">
        <w:t xml:space="preserve"> and their affected others.</w:t>
      </w:r>
      <w:r w:rsidR="001E7E29">
        <w:t xml:space="preserve"> </w:t>
      </w:r>
    </w:p>
    <w:p w:rsidR="0088150A" w:rsidRPr="0052418F" w:rsidRDefault="0088150A" w:rsidP="00B01F78">
      <w:pPr>
        <w:pStyle w:val="Heading3"/>
      </w:pPr>
      <w:bookmarkStart w:id="167" w:name="_Toc156877685"/>
      <w:bookmarkStart w:id="168" w:name="_Toc229279758"/>
      <w:bookmarkStart w:id="169" w:name="_Toc230066520"/>
      <w:bookmarkStart w:id="170" w:name="_Toc329860056"/>
      <w:bookmarkStart w:id="171" w:name="_Toc517090903"/>
      <w:r w:rsidRPr="0052418F">
        <w:t>Factors considered for 20</w:t>
      </w:r>
      <w:bookmarkEnd w:id="167"/>
      <w:r w:rsidRPr="0052418F">
        <w:t>19/20 to 2021</w:t>
      </w:r>
      <w:bookmarkEnd w:id="168"/>
      <w:bookmarkEnd w:id="169"/>
      <w:bookmarkEnd w:id="170"/>
      <w:r w:rsidRPr="0052418F">
        <w:t>/22</w:t>
      </w:r>
      <w:bookmarkEnd w:id="171"/>
    </w:p>
    <w:p w:rsidR="0088150A" w:rsidRDefault="0088150A" w:rsidP="00B01F78">
      <w:r w:rsidRPr="0052418F">
        <w:t>This section discusses a number of factors that the Ministry considered when developing the service plan for 2019/20 to 2021/22. Some of</w:t>
      </w:r>
      <w:r w:rsidRPr="00E312E8">
        <w:t xml:space="preserve"> these factors suggest a </w:t>
      </w:r>
      <w:r w:rsidRPr="00E312E8">
        <w:lastRenderedPageBreak/>
        <w:t xml:space="preserve">changing environment and some </w:t>
      </w:r>
      <w:r>
        <w:t xml:space="preserve">uncertainty </w:t>
      </w:r>
      <w:r w:rsidRPr="00E312E8">
        <w:t xml:space="preserve">in service demand. Even so, the Ministry is confident that, overall, the proposed funding will be adequate to meet demand and deliver a high-quality service consistent with the requirements of the </w:t>
      </w:r>
      <w:r w:rsidRPr="00C10A99">
        <w:t>Act and the Ministry</w:t>
      </w:r>
      <w:r w:rsidR="00A10EC0">
        <w:t>’</w:t>
      </w:r>
      <w:r w:rsidRPr="00C10A99">
        <w:t>s service standards and strategic requirements.</w:t>
      </w:r>
    </w:p>
    <w:p w:rsidR="0088150A" w:rsidRPr="00C10A99" w:rsidRDefault="0088150A" w:rsidP="00B01F78">
      <w:pPr>
        <w:pStyle w:val="Heading4"/>
      </w:pPr>
      <w:r w:rsidRPr="00C10A99">
        <w:t>The New Zealand Health Strategy</w:t>
      </w:r>
    </w:p>
    <w:p w:rsidR="0088150A" w:rsidRDefault="0088150A" w:rsidP="00B01F78">
      <w:r w:rsidRPr="00C10A99">
        <w:t>The Ministry led the development of the New Zealand Health Strategy</w:t>
      </w:r>
      <w:r>
        <w:t>: Future Direction</w:t>
      </w:r>
      <w:r w:rsidRPr="00C10A99">
        <w:t>, which sets out</w:t>
      </w:r>
      <w:r>
        <w:t xml:space="preserve"> a vision of the future</w:t>
      </w:r>
      <w:r w:rsidRPr="00C10A99">
        <w:t xml:space="preserve"> </w:t>
      </w:r>
      <w:r>
        <w:t>for</w:t>
      </w:r>
      <w:r w:rsidRPr="00C10A99">
        <w:t xml:space="preserve"> the health sector in the 10 years from 2016 to 2026 and five strategic themes for the changes that will take the health system towards this future. These five strategic themes have been explicitly linked to each of the 11 </w:t>
      </w:r>
      <w:r>
        <w:t xml:space="preserve">strategic objectives and priority actions described in Section </w:t>
      </w:r>
      <w:r w:rsidR="001E74B0">
        <w:t>2.11</w:t>
      </w:r>
      <w:r w:rsidR="00CE49F9">
        <w:t>.</w:t>
      </w:r>
    </w:p>
    <w:p w:rsidR="0088150A" w:rsidRPr="00C10A99" w:rsidRDefault="0088150A" w:rsidP="00B01F78">
      <w:pPr>
        <w:pStyle w:val="Heading4"/>
      </w:pPr>
      <w:r w:rsidRPr="00C10A99">
        <w:t>Ongoing gambling-harm-related inequities</w:t>
      </w:r>
    </w:p>
    <w:p w:rsidR="0088150A" w:rsidRDefault="0088150A" w:rsidP="00B01F78">
      <w:r w:rsidRPr="00DA25C1">
        <w:t xml:space="preserve">The number of people presenting for </w:t>
      </w:r>
      <w:r>
        <w:t xml:space="preserve">gambling </w:t>
      </w:r>
      <w:r w:rsidRPr="00DA25C1">
        <w:t xml:space="preserve">support and treatment is </w:t>
      </w:r>
      <w:r>
        <w:t xml:space="preserve">consistently </w:t>
      </w:r>
      <w:r w:rsidRPr="00DA25C1">
        <w:t xml:space="preserve">lower than the numbers </w:t>
      </w:r>
      <w:r>
        <w:t>predicted from g</w:t>
      </w:r>
      <w:r w:rsidRPr="00DA25C1">
        <w:t>ambling s</w:t>
      </w:r>
      <w:r>
        <w:t>urveys</w:t>
      </w:r>
      <w:r w:rsidRPr="00DA25C1">
        <w:t xml:space="preserve"> </w:t>
      </w:r>
      <w:r>
        <w:t>that identify the population likely to be experiencing moderate to severe harm. Moreover, this number has</w:t>
      </w:r>
      <w:r w:rsidRPr="00DA25C1">
        <w:t xml:space="preserve"> not increased in line with population growth</w:t>
      </w:r>
      <w:r>
        <w:t xml:space="preserve">. Services appear to be reaching fewer people in need. This discrepancy </w:t>
      </w:r>
      <w:r w:rsidRPr="00DA25C1">
        <w:t xml:space="preserve">suggests </w:t>
      </w:r>
      <w:r>
        <w:t xml:space="preserve">a </w:t>
      </w:r>
      <w:r w:rsidRPr="00DA25C1">
        <w:t xml:space="preserve">need to </w:t>
      </w:r>
      <w:r>
        <w:t>re</w:t>
      </w:r>
      <w:r w:rsidRPr="00DA25C1">
        <w:t xml:space="preserve">consider the accessibility and effectiveness of current </w:t>
      </w:r>
      <w:r>
        <w:t>activities</w:t>
      </w:r>
      <w:r w:rsidRPr="00DA25C1">
        <w:t>.</w:t>
      </w:r>
    </w:p>
    <w:p w:rsidR="0088150A" w:rsidRDefault="0088150A" w:rsidP="00B01F78"/>
    <w:p w:rsidR="0088150A" w:rsidRDefault="0088150A" w:rsidP="00B01F78">
      <w:pPr>
        <w:rPr>
          <w:shd w:val="clear" w:color="auto" w:fill="FFFFFF" w:themeFill="background1"/>
        </w:rPr>
      </w:pPr>
      <w:r w:rsidRPr="00C10A99">
        <w:t xml:space="preserve">There </w:t>
      </w:r>
      <w:r>
        <w:t>is</w:t>
      </w:r>
      <w:r w:rsidRPr="00C10A99">
        <w:t xml:space="preserve"> compelling evidence that Māori and Pacific peoples are more likely to suffer gambling harm as a result of their own or someone else</w:t>
      </w:r>
      <w:r w:rsidR="00A10EC0">
        <w:t>’</w:t>
      </w:r>
      <w:r w:rsidRPr="00C10A99">
        <w:t>s gambling</w:t>
      </w:r>
      <w:r>
        <w:t>,</w:t>
      </w:r>
      <w:r w:rsidRPr="00C10A99">
        <w:t xml:space="preserve"> and are more likely to be at risk of future harm than other ethnic groups. </w:t>
      </w:r>
      <w:r w:rsidRPr="00240D28">
        <w:rPr>
          <w:shd w:val="clear" w:color="auto" w:fill="FFFFFF" w:themeFill="background1"/>
        </w:rPr>
        <w:t xml:space="preserve">The HLS 2016 shows that </w:t>
      </w:r>
      <w:r>
        <w:rPr>
          <w:shd w:val="clear" w:color="auto" w:fill="FFFFFF" w:themeFill="background1"/>
        </w:rPr>
        <w:t>inequities</w:t>
      </w:r>
      <w:r w:rsidRPr="00240D28">
        <w:rPr>
          <w:shd w:val="clear" w:color="auto" w:fill="FFFFFF" w:themeFill="background1"/>
        </w:rPr>
        <w:t xml:space="preserve"> remain</w:t>
      </w:r>
      <w:r>
        <w:rPr>
          <w:shd w:val="clear" w:color="auto" w:fill="FFFFFF" w:themeFill="background1"/>
        </w:rPr>
        <w:t>. E</w:t>
      </w:r>
      <w:r w:rsidRPr="00240D28">
        <w:rPr>
          <w:shd w:val="clear" w:color="auto" w:fill="FFFFFF" w:themeFill="background1"/>
        </w:rPr>
        <w:t>thnic and other disparities in the burden of harm have persisted since the first gambling survey was conducted in 1991. Reducing these health inequities will continue to be a focus in the 2019/20</w:t>
      </w:r>
      <w:r>
        <w:rPr>
          <w:shd w:val="clear" w:color="auto" w:fill="FFFFFF" w:themeFill="background1"/>
        </w:rPr>
        <w:t>–</w:t>
      </w:r>
      <w:r w:rsidRPr="00240D28">
        <w:rPr>
          <w:shd w:val="clear" w:color="auto" w:fill="FFFFFF" w:themeFill="background1"/>
        </w:rPr>
        <w:t>2021/22 period.</w:t>
      </w:r>
    </w:p>
    <w:p w:rsidR="0088150A" w:rsidRDefault="0088150A" w:rsidP="00B01F78"/>
    <w:p w:rsidR="00A10EC0" w:rsidRDefault="0088150A" w:rsidP="00B01F78">
      <w:r w:rsidRPr="000D164E">
        <w:t xml:space="preserve">Submissions to the draft strategy </w:t>
      </w:r>
      <w:r>
        <w:t>featured</w:t>
      </w:r>
      <w:r w:rsidRPr="000D164E">
        <w:t xml:space="preserve"> strong calls from health and service providers, particularly those identifying with M</w:t>
      </w:r>
      <w:r w:rsidRPr="00C10A99">
        <w:t>ā</w:t>
      </w:r>
      <w:r w:rsidRPr="000D164E">
        <w:t>ori, Pacific and Asian communities</w:t>
      </w:r>
      <w:r w:rsidR="009211B5">
        <w:t>, to</w:t>
      </w:r>
      <w:r w:rsidRPr="000D164E">
        <w:t>:</w:t>
      </w:r>
    </w:p>
    <w:p w:rsidR="0088150A" w:rsidRPr="000D164E" w:rsidRDefault="0088150A" w:rsidP="00B01F78">
      <w:pPr>
        <w:pStyle w:val="Bullet"/>
      </w:pPr>
      <w:r w:rsidRPr="000D164E">
        <w:t>address health inequalities</w:t>
      </w:r>
      <w:r w:rsidR="00AC044E">
        <w:t xml:space="preserve"> and inequities,</w:t>
      </w:r>
      <w:r w:rsidRPr="000D164E">
        <w:t xml:space="preserve"> and linguistic and cultural barriers to accessing information and support</w:t>
      </w:r>
    </w:p>
    <w:p w:rsidR="0088150A" w:rsidRPr="000D164E" w:rsidRDefault="0088150A" w:rsidP="00B01F78">
      <w:pPr>
        <w:pStyle w:val="Bullet"/>
      </w:pPr>
      <w:r w:rsidRPr="000D164E">
        <w:t>support youth and young adults</w:t>
      </w:r>
    </w:p>
    <w:p w:rsidR="0088150A" w:rsidRPr="000D164E" w:rsidRDefault="0088150A" w:rsidP="00B01F78">
      <w:pPr>
        <w:pStyle w:val="Bullet"/>
      </w:pPr>
      <w:r w:rsidRPr="000D164E">
        <w:t xml:space="preserve">better address </w:t>
      </w:r>
      <w:r>
        <w:t xml:space="preserve">the </w:t>
      </w:r>
      <w:r w:rsidRPr="000D164E">
        <w:t>needs of vulnerable groups</w:t>
      </w:r>
    </w:p>
    <w:p w:rsidR="0088150A" w:rsidRPr="000D164E" w:rsidRDefault="009211B5" w:rsidP="00B01F78">
      <w:pPr>
        <w:pStyle w:val="Bullet"/>
      </w:pPr>
      <w:r>
        <w:t xml:space="preserve">provide </w:t>
      </w:r>
      <w:r w:rsidR="0088150A" w:rsidRPr="000D164E">
        <w:t>greater input into the design and delivery of public health activities</w:t>
      </w:r>
      <w:r w:rsidR="0088150A">
        <w:t>.</w:t>
      </w:r>
    </w:p>
    <w:p w:rsidR="00B01F78" w:rsidRDefault="00B01F78" w:rsidP="00B01F78">
      <w:pPr>
        <w:rPr>
          <w:shd w:val="clear" w:color="auto" w:fill="FFFFFF" w:themeFill="background1"/>
        </w:rPr>
      </w:pPr>
    </w:p>
    <w:p w:rsidR="0088150A" w:rsidRDefault="0088150A" w:rsidP="00B01F78">
      <w:pPr>
        <w:rPr>
          <w:shd w:val="clear" w:color="auto" w:fill="FFFFFF" w:themeFill="background1"/>
        </w:rPr>
      </w:pPr>
      <w:r>
        <w:rPr>
          <w:shd w:val="clear" w:color="auto" w:fill="FFFFFF" w:themeFill="background1"/>
        </w:rPr>
        <w:t xml:space="preserve">The Ministry has outlined a series of actions in the service plan, including actions to address </w:t>
      </w:r>
      <w:r w:rsidR="00AC044E">
        <w:rPr>
          <w:shd w:val="clear" w:color="auto" w:fill="FFFFFF" w:themeFill="background1"/>
        </w:rPr>
        <w:t xml:space="preserve">health </w:t>
      </w:r>
      <w:r>
        <w:rPr>
          <w:shd w:val="clear" w:color="auto" w:fill="FFFFFF" w:themeFill="background1"/>
        </w:rPr>
        <w:t>inequalities</w:t>
      </w:r>
      <w:r w:rsidR="00AC044E">
        <w:rPr>
          <w:shd w:val="clear" w:color="auto" w:fill="FFFFFF" w:themeFill="background1"/>
        </w:rPr>
        <w:t xml:space="preserve"> and inequities</w:t>
      </w:r>
      <w:r>
        <w:rPr>
          <w:shd w:val="clear" w:color="auto" w:fill="FFFFFF" w:themeFill="background1"/>
        </w:rPr>
        <w:t>; develop pilots and evaluate new service models; and make greater use of technology, consumer networks and co-design</w:t>
      </w:r>
      <w:r w:rsidR="001E74B0">
        <w:rPr>
          <w:shd w:val="clear" w:color="auto" w:fill="FFFFFF" w:themeFill="background1"/>
        </w:rPr>
        <w:t>,</w:t>
      </w:r>
      <w:r>
        <w:rPr>
          <w:shd w:val="clear" w:color="auto" w:fill="FFFFFF" w:themeFill="background1"/>
        </w:rPr>
        <w:t xml:space="preserve"> to address culture and language barriers and improve service uptake. In addition, the Ministry </w:t>
      </w:r>
      <w:r w:rsidR="001E74B0">
        <w:rPr>
          <w:shd w:val="clear" w:color="auto" w:fill="FFFFFF" w:themeFill="background1"/>
        </w:rPr>
        <w:t xml:space="preserve">will </w:t>
      </w:r>
      <w:r>
        <w:rPr>
          <w:shd w:val="clear" w:color="auto" w:fill="FFFFFF" w:themeFill="background1"/>
        </w:rPr>
        <w:t>reorient its strategic reporting to develop more timely and accessible data for the next strategy period, to better inform the prevalence of gambling activities and harm in New Zealand, as well as obtain better information as a result of the actions set out in the strategy.</w:t>
      </w:r>
    </w:p>
    <w:p w:rsidR="0088150A" w:rsidRDefault="0088150A" w:rsidP="00B01F78">
      <w:pPr>
        <w:rPr>
          <w:shd w:val="clear" w:color="auto" w:fill="FFFFFF" w:themeFill="background1"/>
        </w:rPr>
      </w:pPr>
    </w:p>
    <w:p w:rsidR="0088150A" w:rsidRPr="00C10A99" w:rsidRDefault="0088150A" w:rsidP="00B01F78">
      <w:pPr>
        <w:pStyle w:val="Heading4"/>
      </w:pPr>
      <w:r w:rsidRPr="00C10A99">
        <w:lastRenderedPageBreak/>
        <w:t>Alignment with other health and social services</w:t>
      </w:r>
    </w:p>
    <w:p w:rsidR="00A10EC0" w:rsidRDefault="0088150A" w:rsidP="00B01F78">
      <w:r w:rsidRPr="00C10A99">
        <w:t>Rates of ha</w:t>
      </w:r>
      <w:r>
        <w:t xml:space="preserve">rmful </w:t>
      </w:r>
      <w:r w:rsidRPr="00C10A99">
        <w:t xml:space="preserve">drinking, tobacco use, other drug use and psychological distress tend to be much higher among </w:t>
      </w:r>
      <w:r>
        <w:t xml:space="preserve">people experiencing problem gambling (a high risk of gambling harm) </w:t>
      </w:r>
      <w:r w:rsidRPr="00C10A99">
        <w:t>and</w:t>
      </w:r>
      <w:r>
        <w:t>,</w:t>
      </w:r>
      <w:r w:rsidRPr="00C10A99">
        <w:t xml:space="preserve"> to a lesser extent, among moderate- and low-risk gamblers</w:t>
      </w:r>
      <w:r>
        <w:t xml:space="preserve">, </w:t>
      </w:r>
      <w:r w:rsidRPr="00C10A99">
        <w:t xml:space="preserve">than </w:t>
      </w:r>
      <w:r>
        <w:t>they are among</w:t>
      </w:r>
      <w:r w:rsidRPr="00C10A99">
        <w:t xml:space="preserve"> the general population. Those living in </w:t>
      </w:r>
      <w:r>
        <w:t xml:space="preserve">areas with a higher social deprivation score </w:t>
      </w:r>
      <w:r w:rsidRPr="00C10A99">
        <w:t>are also more likely to experience gambling harm.</w:t>
      </w:r>
    </w:p>
    <w:p w:rsidR="0088150A" w:rsidRDefault="0088150A" w:rsidP="00B01F78"/>
    <w:p w:rsidR="00A10EC0" w:rsidRDefault="0088150A" w:rsidP="00B01F78">
      <w:r>
        <w:t>The service plan will continue to promote a</w:t>
      </w:r>
      <w:r w:rsidRPr="00C10A99">
        <w:t xml:space="preserve">ctions </w:t>
      </w:r>
      <w:r>
        <w:t>that better align</w:t>
      </w:r>
      <w:r w:rsidRPr="00C10A99">
        <w:t xml:space="preserve"> services </w:t>
      </w:r>
      <w:r>
        <w:t>that</w:t>
      </w:r>
      <w:r w:rsidRPr="00C10A99">
        <w:t xml:space="preserve"> prevent and minimise gambling harm </w:t>
      </w:r>
      <w:r>
        <w:t>with</w:t>
      </w:r>
      <w:r w:rsidRPr="00C10A99">
        <w:t xml:space="preserve"> other health and social services in the 2019/20</w:t>
      </w:r>
      <w:r>
        <w:t>–</w:t>
      </w:r>
      <w:r w:rsidRPr="00C10A99">
        <w:t>2021/22 period.</w:t>
      </w:r>
      <w:r>
        <w:t xml:space="preserve"> Where gamblers experience significant comorbidities, we will also explore options for developing more holistic packages of care.</w:t>
      </w:r>
    </w:p>
    <w:p w:rsidR="0088150A" w:rsidRPr="00C10A99" w:rsidRDefault="0088150A" w:rsidP="00B01F78">
      <w:pPr>
        <w:pStyle w:val="Heading4"/>
      </w:pPr>
      <w:r w:rsidRPr="00C10A99">
        <w:t>Outcomes-focused agreements</w:t>
      </w:r>
    </w:p>
    <w:p w:rsidR="0088150A" w:rsidRPr="00B01F78" w:rsidRDefault="0088150A" w:rsidP="00B01F78">
      <w:r w:rsidRPr="00C10A99">
        <w:t xml:space="preserve">The Ministry of Business, Innovation and Employment has incorporated Results-Based Accountability™ principles </w:t>
      </w:r>
      <w:r w:rsidRPr="00B01F78">
        <w:rPr>
          <w:rFonts w:eastAsia="MS Gothic"/>
        </w:rPr>
        <w:t>into a streamlined contract framework that government agencies and NGOs can use to identify, measure and monitor achievement of outcomes.</w:t>
      </w:r>
    </w:p>
    <w:p w:rsidR="0088150A" w:rsidRDefault="0088150A" w:rsidP="00B01F78"/>
    <w:p w:rsidR="0088150A" w:rsidRDefault="0088150A" w:rsidP="00B01F78">
      <w:r w:rsidRPr="00C10A99">
        <w:t>The Ministry implemented outcomes-focused agreements incorporating these principles for its preventing and minimising gambling harm contracts</w:t>
      </w:r>
      <w:r>
        <w:t xml:space="preserve"> in January 2018, and </w:t>
      </w:r>
      <w:r w:rsidRPr="00C10A99">
        <w:t>expects to refine the</w:t>
      </w:r>
      <w:r>
        <w:t>se based on learning from audit, evaluation and research in the</w:t>
      </w:r>
      <w:r w:rsidRPr="00C10A99">
        <w:t xml:space="preserve"> 2019/20</w:t>
      </w:r>
      <w:r>
        <w:t>–</w:t>
      </w:r>
      <w:r w:rsidRPr="00C10A99">
        <w:t>2021/22 period.</w:t>
      </w:r>
    </w:p>
    <w:p w:rsidR="0088150A" w:rsidRPr="00E312E8" w:rsidRDefault="0088150A" w:rsidP="00B01F78">
      <w:pPr>
        <w:pStyle w:val="Heading4"/>
      </w:pPr>
      <w:r w:rsidRPr="00C10A99">
        <w:t>Changes in gambling participation and expenditure</w:t>
      </w:r>
    </w:p>
    <w:p w:rsidR="0088150A" w:rsidRDefault="0088150A" w:rsidP="00B01F78">
      <w:r>
        <w:t>While the overall gambling participation rates as a percentage of the population have been static over the past five years</w:t>
      </w:r>
      <w:r w:rsidRPr="00CD3541">
        <w:t xml:space="preserve"> </w:t>
      </w:r>
      <w:r>
        <w:t xml:space="preserve">or so, the total numbers of </w:t>
      </w:r>
      <w:r w:rsidR="00A10EC0">
        <w:t>‘</w:t>
      </w:r>
      <w:r>
        <w:t>at-risk</w:t>
      </w:r>
      <w:r w:rsidR="00A10EC0">
        <w:t>’</w:t>
      </w:r>
      <w:r>
        <w:t xml:space="preserve"> gamblers in the population have increased in line with population growth.</w:t>
      </w:r>
    </w:p>
    <w:p w:rsidR="0088150A" w:rsidRDefault="0088150A" w:rsidP="00B01F78"/>
    <w:p w:rsidR="0088150A" w:rsidRDefault="0088150A" w:rsidP="00B01F78">
      <w:r w:rsidRPr="00E312E8">
        <w:t>Changes in gambling participation and expenditure tend to have long-term flow-on effects on the prevalence of gambling harm and the number of people seeking help for gambling problems</w:t>
      </w:r>
      <w:r>
        <w:t>, although the causes of harmful gambling behaviour are complex</w:t>
      </w:r>
      <w:r w:rsidRPr="00E312E8">
        <w:t>.</w:t>
      </w:r>
    </w:p>
    <w:p w:rsidR="0088150A" w:rsidRDefault="0088150A" w:rsidP="00B01F78"/>
    <w:p w:rsidR="0088150A" w:rsidRPr="00C10A99" w:rsidRDefault="0088150A" w:rsidP="00B01F78">
      <w:r w:rsidRPr="00C10A99">
        <w:t xml:space="preserve">The overall amount gamblers spent on the </w:t>
      </w:r>
      <w:r>
        <w:t xml:space="preserve">four </w:t>
      </w:r>
      <w:r w:rsidRPr="00C10A99">
        <w:t>main form</w:t>
      </w:r>
      <w:r w:rsidR="005C081A">
        <w:t>s</w:t>
      </w:r>
      <w:r w:rsidRPr="00C10A99">
        <w:t xml:space="preserve"> of gambling in New Zealand has increased each year since 2010/11, most recently from $2.209 billion in the 2015/16 financial year to $2.33</w:t>
      </w:r>
      <w:r>
        <w:t>4</w:t>
      </w:r>
      <w:r w:rsidRPr="00C10A99">
        <w:t xml:space="preserve"> billion in 2016/17. </w:t>
      </w:r>
      <w:r>
        <w:t>A</w:t>
      </w:r>
      <w:r w:rsidRPr="00C10A99">
        <w:t>djusting for the effects of inflation and changes to the New Zealand population (aged 18 years and over), this was an overall increase of 1.1 percent</w:t>
      </w:r>
      <w:r>
        <w:t xml:space="preserve"> over the six-year time period</w:t>
      </w:r>
      <w:r w:rsidRPr="00C10A99">
        <w:t>.</w:t>
      </w:r>
    </w:p>
    <w:p w:rsidR="0088150A" w:rsidRDefault="0088150A" w:rsidP="00B01F78"/>
    <w:p w:rsidR="0088150A" w:rsidRDefault="0088150A" w:rsidP="00B01F78">
      <w:r>
        <w:t xml:space="preserve">Section </w:t>
      </w:r>
      <w:r w:rsidR="001E74B0">
        <w:t>4.3</w:t>
      </w:r>
      <w:r>
        <w:t xml:space="preserve"> outlines c</w:t>
      </w:r>
      <w:r w:rsidRPr="00C10A99">
        <w:t xml:space="preserve">hanges in </w:t>
      </w:r>
      <w:r w:rsidR="001E74B0">
        <w:t xml:space="preserve">player </w:t>
      </w:r>
      <w:r w:rsidRPr="00C10A99">
        <w:t xml:space="preserve">expenditure </w:t>
      </w:r>
      <w:r w:rsidR="00FF6E89">
        <w:t xml:space="preserve">and player expenditure forecasts, for </w:t>
      </w:r>
      <w:r w:rsidRPr="00C10A99">
        <w:t>each of the main forms of gambling</w:t>
      </w:r>
      <w:r>
        <w:t>.</w:t>
      </w:r>
    </w:p>
    <w:p w:rsidR="0088150A" w:rsidRPr="00D53628" w:rsidRDefault="0088150A" w:rsidP="00B01F78">
      <w:pPr>
        <w:pStyle w:val="Heading4"/>
      </w:pPr>
      <w:r w:rsidRPr="00D53628">
        <w:t>Online gambling and gaming convergence</w:t>
      </w:r>
    </w:p>
    <w:p w:rsidR="00A10EC0" w:rsidRDefault="0088150A" w:rsidP="00B01F78">
      <w:r>
        <w:t>Health provider and service provider submissions on the draft strategy observed that there appears to be an increased prevalence of and risks associated with online gambling and gaming convergence, particularly for youth and young adults. This has implications for public health.</w:t>
      </w:r>
    </w:p>
    <w:p w:rsidR="0088150A" w:rsidRDefault="0088150A" w:rsidP="00B01F78"/>
    <w:p w:rsidR="00A10EC0" w:rsidRDefault="0088150A" w:rsidP="00B01F78">
      <w:r w:rsidRPr="00C10A99">
        <w:lastRenderedPageBreak/>
        <w:t>During the 2019/20</w:t>
      </w:r>
      <w:r>
        <w:t>–</w:t>
      </w:r>
      <w:r w:rsidRPr="00C10A99">
        <w:t>2021/22 period, the Ministry will</w:t>
      </w:r>
      <w:r>
        <w:t xml:space="preserve"> research current online gambling behaviour and convergence risks and the implications for child wellbeing, for example</w:t>
      </w:r>
      <w:r w:rsidR="005C081A">
        <w:t>;</w:t>
      </w:r>
      <w:r>
        <w:t xml:space="preserve"> this may result in specific public health support based on this research. It will also assess the need for further controls, with DIA as the regulatory authority.</w:t>
      </w:r>
    </w:p>
    <w:p w:rsidR="0088150A" w:rsidRPr="00C10A99" w:rsidRDefault="0088150A" w:rsidP="00B01F78">
      <w:pPr>
        <w:pStyle w:val="Heading4"/>
      </w:pPr>
      <w:r w:rsidRPr="00C10A99">
        <w:t>Technology-based and other innovative interventions</w:t>
      </w:r>
    </w:p>
    <w:p w:rsidR="00A10EC0" w:rsidRDefault="0088150A" w:rsidP="00B01F78">
      <w:r>
        <w:t xml:space="preserve">There was broad support in submissions to increase funding for technology to manage gambling harm. </w:t>
      </w:r>
      <w:r w:rsidRPr="00C10A99">
        <w:t>In previous years, the Ministry commissioned a feasibility study on a smartphone application to prevent and minimise gambling harm</w:t>
      </w:r>
      <w:r w:rsidR="00AB1B01">
        <w:t>.</w:t>
      </w:r>
      <w:r w:rsidRPr="000668C9">
        <w:t xml:space="preserve"> </w:t>
      </w:r>
      <w:r>
        <w:t xml:space="preserve">In </w:t>
      </w:r>
      <w:r w:rsidRPr="00C10A99">
        <w:t>2016/17</w:t>
      </w:r>
      <w:r>
        <w:t>–</w:t>
      </w:r>
      <w:r w:rsidRPr="00C10A99">
        <w:t xml:space="preserve">2018/19 </w:t>
      </w:r>
      <w:r>
        <w:t xml:space="preserve">it conducted </w:t>
      </w:r>
      <w:r w:rsidRPr="00C10A99">
        <w:t>a clinical trial of the app</w:t>
      </w:r>
      <w:r w:rsidRPr="000668C9">
        <w:t xml:space="preserve"> </w:t>
      </w:r>
      <w:r>
        <w:t>(</w:t>
      </w:r>
      <w:r w:rsidRPr="00C10A99">
        <w:t>the SPAGeTTI Trial</w:t>
      </w:r>
      <w:r>
        <w:t>).</w:t>
      </w:r>
      <w:r w:rsidRPr="00C10A99">
        <w:t xml:space="preserve"> The Ministry has also funded a </w:t>
      </w:r>
      <w:r>
        <w:t xml:space="preserve">national </w:t>
      </w:r>
      <w:r w:rsidRPr="00C10A99">
        <w:t xml:space="preserve">MVE </w:t>
      </w:r>
      <w:r>
        <w:t xml:space="preserve">administration </w:t>
      </w:r>
      <w:r w:rsidRPr="00C10A99">
        <w:t>service, part of the remit of which is to manage a secure database for all MVEs.</w:t>
      </w:r>
    </w:p>
    <w:p w:rsidR="0088150A" w:rsidRDefault="0088150A" w:rsidP="00B01F78"/>
    <w:p w:rsidR="0088150A" w:rsidRDefault="0088150A" w:rsidP="00B01F78">
      <w:r w:rsidRPr="00C10A99">
        <w:t>During the 2019/20</w:t>
      </w:r>
      <w:r>
        <w:t>–</w:t>
      </w:r>
      <w:r w:rsidRPr="00C10A99">
        <w:t xml:space="preserve">2021/22 period, the Ministry </w:t>
      </w:r>
      <w:r>
        <w:t xml:space="preserve">will develop a technology innovation fund to </w:t>
      </w:r>
      <w:r w:rsidRPr="00C10A99">
        <w:t xml:space="preserve">pilot technology-based interventions and implement them, </w:t>
      </w:r>
      <w:r>
        <w:t xml:space="preserve">where </w:t>
      </w:r>
      <w:r w:rsidRPr="00C10A99">
        <w:t xml:space="preserve">pilot projects show that </w:t>
      </w:r>
      <w:r>
        <w:t>such interventions</w:t>
      </w:r>
      <w:r w:rsidRPr="00C10A99">
        <w:t xml:space="preserve"> are cost</w:t>
      </w:r>
      <w:r>
        <w:t>-</w:t>
      </w:r>
      <w:r w:rsidRPr="00C10A99">
        <w:t xml:space="preserve">effective. </w:t>
      </w:r>
      <w:r>
        <w:t xml:space="preserve">Industry </w:t>
      </w:r>
      <w:r w:rsidRPr="00C10A99">
        <w:t xml:space="preserve">support has grown for facial recognition software to be incorporated into MVE processes within </w:t>
      </w:r>
      <w:r>
        <w:t xml:space="preserve">NCGM </w:t>
      </w:r>
      <w:r w:rsidRPr="00C10A99">
        <w:t xml:space="preserve">venues. The Ministry will </w:t>
      </w:r>
      <w:r>
        <w:t>continue its planned 2018/19 trial of a</w:t>
      </w:r>
      <w:r w:rsidR="00AB1B01">
        <w:t>n</w:t>
      </w:r>
      <w:r>
        <w:t xml:space="preserve"> MVE database to evaluate its effectiveness</w:t>
      </w:r>
      <w:r w:rsidR="004B0B0C">
        <w:t xml:space="preserve"> in preventing or minimising gambling harm</w:t>
      </w:r>
      <w:r>
        <w:t>.</w:t>
      </w:r>
    </w:p>
    <w:p w:rsidR="0088150A" w:rsidRPr="00C10A99" w:rsidRDefault="0088150A" w:rsidP="00B01F78">
      <w:pPr>
        <w:pStyle w:val="Heading4"/>
      </w:pPr>
      <w:r w:rsidRPr="00C10A99">
        <w:t>Legislative changes</w:t>
      </w:r>
    </w:p>
    <w:p w:rsidR="0088150A" w:rsidRDefault="0088150A" w:rsidP="00B01F78">
      <w:r w:rsidRPr="00226CF6">
        <w:t>There have been no recent amendments to the Act</w:t>
      </w:r>
      <w:r w:rsidR="00994E27">
        <w:t>.</w:t>
      </w:r>
      <w:r w:rsidR="00994E27" w:rsidRPr="00226CF6">
        <w:t xml:space="preserve"> </w:t>
      </w:r>
      <w:r w:rsidR="00EA133B">
        <w:t>Although</w:t>
      </w:r>
      <w:r w:rsidR="00994E27">
        <w:t xml:space="preserve"> changes to the Act </w:t>
      </w:r>
      <w:r w:rsidR="00EA133B">
        <w:t xml:space="preserve">may be made in </w:t>
      </w:r>
      <w:r w:rsidR="00994E27" w:rsidRPr="00226CF6">
        <w:t>the 2019/20</w:t>
      </w:r>
      <w:r w:rsidR="00994E27">
        <w:t>–</w:t>
      </w:r>
      <w:r w:rsidR="00994E27" w:rsidRPr="00226CF6">
        <w:t>2021/22 period</w:t>
      </w:r>
      <w:r w:rsidR="00994E27">
        <w:t>,</w:t>
      </w:r>
      <w:r w:rsidR="00994E27" w:rsidRPr="00226CF6">
        <w:t xml:space="preserve"> none </w:t>
      </w:r>
      <w:r w:rsidR="00EA133B">
        <w:t>is</w:t>
      </w:r>
      <w:r w:rsidR="00994E27" w:rsidRPr="00226CF6">
        <w:t xml:space="preserve"> </w:t>
      </w:r>
      <w:r w:rsidR="00994E27">
        <w:t>yet confirmed</w:t>
      </w:r>
      <w:r w:rsidR="00EA133B">
        <w:t>.</w:t>
      </w:r>
    </w:p>
    <w:p w:rsidR="0088150A" w:rsidRDefault="0088150A" w:rsidP="00B01F78">
      <w:pPr>
        <w:pStyle w:val="Heading4"/>
      </w:pPr>
      <w:r>
        <w:t>Operating costs</w:t>
      </w:r>
    </w:p>
    <w:p w:rsidR="004B0B0C" w:rsidRDefault="0088150A" w:rsidP="00B01F78">
      <w:r>
        <w:t xml:space="preserve">Service provider submissions </w:t>
      </w:r>
      <w:r w:rsidR="001E74B0">
        <w:t xml:space="preserve">noted </w:t>
      </w:r>
      <w:r>
        <w:t xml:space="preserve">the draft service plan </w:t>
      </w:r>
      <w:r w:rsidR="001E74B0">
        <w:t xml:space="preserve">did not provide an </w:t>
      </w:r>
      <w:r>
        <w:t>increase</w:t>
      </w:r>
      <w:r w:rsidR="001E74B0">
        <w:t xml:space="preserve"> </w:t>
      </w:r>
      <w:r w:rsidR="00322E9B">
        <w:t>i</w:t>
      </w:r>
      <w:r>
        <w:t xml:space="preserve">n </w:t>
      </w:r>
      <w:r w:rsidR="004B0B0C">
        <w:t xml:space="preserve">funding for </w:t>
      </w:r>
      <w:r w:rsidR="001E74B0">
        <w:t xml:space="preserve">existing </w:t>
      </w:r>
      <w:r w:rsidR="004B0B0C">
        <w:t>services</w:t>
      </w:r>
      <w:r w:rsidR="00322E9B">
        <w:t>,</w:t>
      </w:r>
      <w:r w:rsidR="004B0B0C">
        <w:t xml:space="preserve"> leading to concerns that funding </w:t>
      </w:r>
      <w:r w:rsidR="002521CD">
        <w:t xml:space="preserve">would not increase </w:t>
      </w:r>
      <w:r w:rsidR="004B0B0C">
        <w:t xml:space="preserve">to </w:t>
      </w:r>
      <w:r w:rsidR="002521CD">
        <w:t xml:space="preserve">address </w:t>
      </w:r>
      <w:r w:rsidR="004B0B0C">
        <w:t xml:space="preserve">cost </w:t>
      </w:r>
      <w:r w:rsidR="001E74B0">
        <w:t>pressures</w:t>
      </w:r>
      <w:r w:rsidR="00322E9B">
        <w:t xml:space="preserve"> on existing services</w:t>
      </w:r>
      <w:r w:rsidR="001E74B0">
        <w:t xml:space="preserve">. </w:t>
      </w:r>
    </w:p>
    <w:p w:rsidR="004B0B0C" w:rsidRDefault="004B0B0C" w:rsidP="00B01F78"/>
    <w:p w:rsidR="00A10EC0" w:rsidRDefault="0088150A" w:rsidP="00B01F78">
      <w:r>
        <w:t xml:space="preserve">The </w:t>
      </w:r>
      <w:r w:rsidR="004B0B0C">
        <w:t>Ministry intends to manage this</w:t>
      </w:r>
      <w:r w:rsidR="002521CD">
        <w:t xml:space="preserve"> issue</w:t>
      </w:r>
      <w:r w:rsidR="004B0B0C">
        <w:t xml:space="preserve"> through the </w:t>
      </w:r>
      <w:r w:rsidR="00C20FB1">
        <w:t>funding available</w:t>
      </w:r>
      <w:r w:rsidR="002521CD">
        <w:t>. It</w:t>
      </w:r>
      <w:r w:rsidR="000B2377">
        <w:t xml:space="preserve"> will consider </w:t>
      </w:r>
      <w:r>
        <w:t xml:space="preserve">the costs of delivering specific services </w:t>
      </w:r>
      <w:r w:rsidR="000B2377">
        <w:t xml:space="preserve">when it </w:t>
      </w:r>
      <w:r>
        <w:t>runs its request-for-proposals processes for new contracts (including pilots).</w:t>
      </w:r>
    </w:p>
    <w:p w:rsidR="00B01F78" w:rsidRDefault="00B01F78" w:rsidP="00B01F78"/>
    <w:p w:rsidR="0088150A" w:rsidRDefault="0088150A" w:rsidP="00B01F78">
      <w:r>
        <w:t>The Ministry</w:t>
      </w:r>
      <w:r w:rsidR="00A10EC0">
        <w:t>’</w:t>
      </w:r>
      <w:r>
        <w:t>s focus is on funding outcomes and results. The proposed increase in evaluations together with the new pilot trials will give a better indication of where the Ministry should target resources to address gambling harm</w:t>
      </w:r>
      <w:r w:rsidR="004B0B0C">
        <w:t xml:space="preserve"> in future levy periods and the likely cost of delivering these future services</w:t>
      </w:r>
      <w:r>
        <w:t>.</w:t>
      </w:r>
    </w:p>
    <w:p w:rsidR="0088150A" w:rsidRPr="00E0156C" w:rsidRDefault="00332421" w:rsidP="00B01F78">
      <w:pPr>
        <w:pStyle w:val="Heading2"/>
      </w:pPr>
      <w:bookmarkStart w:id="172" w:name="_Toc156877688"/>
      <w:bookmarkStart w:id="173" w:name="_Toc229279759"/>
      <w:bookmarkStart w:id="174" w:name="_Toc230066521"/>
      <w:bookmarkStart w:id="175" w:name="_Toc329860057"/>
      <w:bookmarkStart w:id="176" w:name="_Toc421026474"/>
      <w:bookmarkStart w:id="177" w:name="_Toc517090904"/>
      <w:bookmarkStart w:id="178" w:name="_Toc530487410"/>
      <w:bookmarkStart w:id="179" w:name="_Toc9239603"/>
      <w:r>
        <w:t>S</w:t>
      </w:r>
      <w:r w:rsidR="0088150A" w:rsidRPr="00E0156C">
        <w:t xml:space="preserve">ervice </w:t>
      </w:r>
      <w:r w:rsidR="0088150A">
        <w:t>p</w:t>
      </w:r>
      <w:r w:rsidR="0088150A" w:rsidRPr="00E0156C">
        <w:t>lan for 2019/20 to 2021/22</w:t>
      </w:r>
      <w:bookmarkEnd w:id="172"/>
      <w:bookmarkEnd w:id="173"/>
      <w:bookmarkEnd w:id="174"/>
      <w:bookmarkEnd w:id="175"/>
      <w:bookmarkEnd w:id="176"/>
      <w:bookmarkEnd w:id="177"/>
      <w:bookmarkEnd w:id="178"/>
      <w:bookmarkEnd w:id="179"/>
    </w:p>
    <w:p w:rsidR="0088150A" w:rsidRPr="0052418F" w:rsidRDefault="0088150A" w:rsidP="00B01F78">
      <w:pPr>
        <w:pStyle w:val="Heading3"/>
        <w:numPr>
          <w:ilvl w:val="0"/>
          <w:numId w:val="0"/>
        </w:numPr>
        <w:rPr>
          <w:lang w:eastAsia="en-US"/>
        </w:rPr>
      </w:pPr>
      <w:r w:rsidRPr="0052418F">
        <w:rPr>
          <w:lang w:eastAsia="en-US"/>
        </w:rPr>
        <w:t>Change in focus</w:t>
      </w:r>
    </w:p>
    <w:p w:rsidR="00A10EC0" w:rsidRDefault="0088150A" w:rsidP="00B01F78">
      <w:pPr>
        <w:rPr>
          <w:lang w:eastAsia="en-US"/>
        </w:rPr>
      </w:pPr>
      <w:r w:rsidRPr="00E312E8">
        <w:rPr>
          <w:lang w:eastAsia="en-US"/>
        </w:rPr>
        <w:t xml:space="preserve">The </w:t>
      </w:r>
      <w:r>
        <w:rPr>
          <w:lang w:eastAsia="en-US"/>
        </w:rPr>
        <w:t>2018 Gambling Harm Reduction Needs A</w:t>
      </w:r>
      <w:r w:rsidRPr="00E312E8">
        <w:rPr>
          <w:lang w:eastAsia="en-US"/>
        </w:rPr>
        <w:t>ssessment</w:t>
      </w:r>
      <w:r>
        <w:rPr>
          <w:lang w:eastAsia="en-US"/>
        </w:rPr>
        <w:t xml:space="preserve">, submissions on the 2018 strategy consultation document, insights from the HLS 2016, the NGS 2018 and the </w:t>
      </w:r>
      <w:r>
        <w:rPr>
          <w:lang w:eastAsia="en-US"/>
        </w:rPr>
        <w:lastRenderedPageBreak/>
        <w:t>2018 Gambling Outcomes Monitoring Report (in publication)</w:t>
      </w:r>
      <w:r w:rsidR="00A10EC0">
        <w:rPr>
          <w:lang w:eastAsia="en-US"/>
        </w:rPr>
        <w:t xml:space="preserve"> </w:t>
      </w:r>
      <w:r>
        <w:rPr>
          <w:lang w:eastAsia="en-US"/>
        </w:rPr>
        <w:t>h</w:t>
      </w:r>
      <w:r w:rsidRPr="00E312E8">
        <w:rPr>
          <w:lang w:eastAsia="en-US"/>
        </w:rPr>
        <w:t xml:space="preserve">ave </w:t>
      </w:r>
      <w:r>
        <w:rPr>
          <w:lang w:eastAsia="en-US"/>
        </w:rPr>
        <w:t xml:space="preserve">all </w:t>
      </w:r>
      <w:r w:rsidRPr="00E312E8">
        <w:rPr>
          <w:lang w:eastAsia="en-US"/>
        </w:rPr>
        <w:t>informed the development of</w:t>
      </w:r>
      <w:r>
        <w:rPr>
          <w:lang w:eastAsia="en-US"/>
        </w:rPr>
        <w:t xml:space="preserve"> the service plan set out below</w:t>
      </w:r>
      <w:r w:rsidRPr="00E312E8">
        <w:rPr>
          <w:lang w:eastAsia="en-US"/>
        </w:rPr>
        <w:t>.</w:t>
      </w:r>
    </w:p>
    <w:p w:rsidR="00B01F78" w:rsidRDefault="00B01F78" w:rsidP="00B01F78"/>
    <w:p w:rsidR="0088150A" w:rsidRPr="00657655" w:rsidRDefault="0088150A" w:rsidP="002B4C78">
      <w:pPr>
        <w:keepNext/>
      </w:pPr>
      <w:r w:rsidRPr="00657655">
        <w:t xml:space="preserve">The main changes in the service plan </w:t>
      </w:r>
      <w:r>
        <w:t>are to:</w:t>
      </w:r>
    </w:p>
    <w:p w:rsidR="0088150A" w:rsidRPr="00657655" w:rsidRDefault="0088150A" w:rsidP="00B01F78">
      <w:pPr>
        <w:pStyle w:val="Bullet"/>
      </w:pPr>
      <w:r w:rsidRPr="00657655">
        <w:t>expand the service mix to more closely match those available in the wider addiction and mental health sector (eg</w:t>
      </w:r>
      <w:r>
        <w:t>,</w:t>
      </w:r>
      <w:r w:rsidRPr="00657655">
        <w:t xml:space="preserve"> peer support, residential care, consumer networks</w:t>
      </w:r>
      <w:r w:rsidRPr="0052418F">
        <w:t>)</w:t>
      </w:r>
    </w:p>
    <w:p w:rsidR="00A10EC0" w:rsidRDefault="0088150A" w:rsidP="00B01F78">
      <w:pPr>
        <w:pStyle w:val="Bullet"/>
      </w:pPr>
      <w:r w:rsidRPr="00657655">
        <w:t>foster co</w:t>
      </w:r>
      <w:r>
        <w:t>-</w:t>
      </w:r>
      <w:r w:rsidRPr="00657655">
        <w:t>design and establish a consumer</w:t>
      </w:r>
      <w:r>
        <w:t xml:space="preserve"> (lived experience) </w:t>
      </w:r>
      <w:r w:rsidRPr="00657655">
        <w:t>network to inform service</w:t>
      </w:r>
      <w:r>
        <w:t>s</w:t>
      </w:r>
    </w:p>
    <w:p w:rsidR="0088150A" w:rsidRPr="00657655" w:rsidRDefault="0088150A" w:rsidP="00B01F78">
      <w:pPr>
        <w:pStyle w:val="Bullet"/>
      </w:pPr>
      <w:r>
        <w:t xml:space="preserve">make greater </w:t>
      </w:r>
      <w:r w:rsidRPr="00657655">
        <w:t xml:space="preserve">use </w:t>
      </w:r>
      <w:r>
        <w:t xml:space="preserve">of pilot, </w:t>
      </w:r>
      <w:r w:rsidRPr="00657655">
        <w:t>evaluation and action research to inform service development</w:t>
      </w:r>
      <w:r>
        <w:t>.</w:t>
      </w:r>
    </w:p>
    <w:p w:rsidR="0088150A" w:rsidRDefault="0088150A" w:rsidP="00B01F78"/>
    <w:p w:rsidR="00A10EC0" w:rsidRDefault="0088150A" w:rsidP="00B01F78">
      <w:r>
        <w:t xml:space="preserve">The </w:t>
      </w:r>
      <w:r w:rsidR="00332421">
        <w:t xml:space="preserve">service plan provides for the </w:t>
      </w:r>
      <w:r w:rsidRPr="0052418F">
        <w:t xml:space="preserve">use </w:t>
      </w:r>
      <w:r w:rsidR="00332421">
        <w:t xml:space="preserve">of </w:t>
      </w:r>
      <w:r w:rsidRPr="0052418F">
        <w:t xml:space="preserve">pilots to develop </w:t>
      </w:r>
      <w:r>
        <w:t xml:space="preserve">or trial </w:t>
      </w:r>
      <w:r w:rsidRPr="0052418F">
        <w:t>new service models</w:t>
      </w:r>
      <w:r>
        <w:t xml:space="preserve">, particularly to </w:t>
      </w:r>
      <w:r w:rsidRPr="0052418F">
        <w:t>address:</w:t>
      </w:r>
    </w:p>
    <w:p w:rsidR="00A10EC0" w:rsidRDefault="0088150A" w:rsidP="00B01F78">
      <w:pPr>
        <w:pStyle w:val="Bullet"/>
      </w:pPr>
      <w:r w:rsidRPr="0052418F">
        <w:t>gaps in current service provision</w:t>
      </w:r>
      <w:r>
        <w:t xml:space="preserve"> –</w:t>
      </w:r>
      <w:r w:rsidRPr="0052418F">
        <w:t xml:space="preserve"> public health</w:t>
      </w:r>
      <w:r>
        <w:t xml:space="preserve">, </w:t>
      </w:r>
      <w:r w:rsidRPr="0052418F">
        <w:t>psychosocial</w:t>
      </w:r>
      <w:r>
        <w:t xml:space="preserve"> and intervention</w:t>
      </w:r>
      <w:r w:rsidRPr="0052418F">
        <w:t xml:space="preserve"> services</w:t>
      </w:r>
    </w:p>
    <w:p w:rsidR="00A10EC0" w:rsidRDefault="0088150A" w:rsidP="00B01F78">
      <w:pPr>
        <w:pStyle w:val="Bullet"/>
      </w:pPr>
      <w:r w:rsidRPr="00657655">
        <w:t>areas of systemic, persistent gambling harm, health inequities</w:t>
      </w:r>
      <w:r w:rsidRPr="0052418F">
        <w:t xml:space="preserve"> </w:t>
      </w:r>
      <w:r>
        <w:t xml:space="preserve">and </w:t>
      </w:r>
      <w:r w:rsidRPr="0052418F">
        <w:t>gambling relapse</w:t>
      </w:r>
    </w:p>
    <w:p w:rsidR="0088150A" w:rsidRPr="00657655" w:rsidRDefault="0088150A" w:rsidP="00B01F78">
      <w:pPr>
        <w:pStyle w:val="Bullet"/>
      </w:pPr>
      <w:r w:rsidRPr="0052418F">
        <w:t>technology to manage and mitigate gambling harm</w:t>
      </w:r>
    </w:p>
    <w:p w:rsidR="0088150A" w:rsidRPr="00657655" w:rsidRDefault="0088150A" w:rsidP="00B01F78">
      <w:pPr>
        <w:pStyle w:val="Bullet"/>
      </w:pPr>
      <w:r w:rsidRPr="00657655">
        <w:t xml:space="preserve">recovery </w:t>
      </w:r>
      <w:r>
        <w:t xml:space="preserve">services </w:t>
      </w:r>
      <w:r w:rsidRPr="00657655">
        <w:t>th</w:t>
      </w:r>
      <w:r>
        <w:t>at enhance t</w:t>
      </w:r>
      <w:r w:rsidRPr="00657655">
        <w:t>he mana of service users</w:t>
      </w:r>
      <w:r>
        <w:t xml:space="preserve"> and build their resilience.</w:t>
      </w:r>
    </w:p>
    <w:p w:rsidR="0088150A" w:rsidRDefault="0088150A" w:rsidP="00B01F78"/>
    <w:p w:rsidR="00A10EC0" w:rsidRPr="00B01F78" w:rsidRDefault="0088150A" w:rsidP="00B01F78">
      <w:pPr>
        <w:rPr>
          <w:spacing w:val="-2"/>
        </w:rPr>
      </w:pPr>
      <w:r w:rsidRPr="00B01F78">
        <w:rPr>
          <w:spacing w:val="-2"/>
        </w:rPr>
        <w:t xml:space="preserve">In addition, the </w:t>
      </w:r>
      <w:r w:rsidR="00332421">
        <w:rPr>
          <w:spacing w:val="-2"/>
        </w:rPr>
        <w:t xml:space="preserve">service plan refocuses </w:t>
      </w:r>
      <w:r w:rsidRPr="00B01F78">
        <w:rPr>
          <w:spacing w:val="-2"/>
        </w:rPr>
        <w:t>the mix of services for 2018/19–2021/22 to:</w:t>
      </w:r>
    </w:p>
    <w:p w:rsidR="00A10EC0" w:rsidRDefault="0088150A" w:rsidP="00B01F78">
      <w:pPr>
        <w:pStyle w:val="Bullet"/>
      </w:pPr>
      <w:r w:rsidRPr="0052418F">
        <w:t xml:space="preserve">increase awareness </w:t>
      </w:r>
      <w:r w:rsidR="00E8472F">
        <w:t xml:space="preserve">of </w:t>
      </w:r>
      <w:r w:rsidRPr="0052418F">
        <w:t>and engagement by those at risk (</w:t>
      </w:r>
      <w:r>
        <w:t xml:space="preserve">eg, by introducing </w:t>
      </w:r>
      <w:r w:rsidRPr="0052418F">
        <w:t>a greater focus on health literacy, service responsiveness and gambling host responsibility)</w:t>
      </w:r>
    </w:p>
    <w:p w:rsidR="0088150A" w:rsidRPr="0052418F" w:rsidRDefault="0088150A" w:rsidP="00B01F78">
      <w:pPr>
        <w:pStyle w:val="Bullet"/>
      </w:pPr>
      <w:r w:rsidRPr="0052418F">
        <w:t>explore new intervention initiatives, based on learning about what works from the evaluation and research</w:t>
      </w:r>
    </w:p>
    <w:p w:rsidR="0088150A" w:rsidRPr="0052418F" w:rsidRDefault="0088150A" w:rsidP="00B01F78">
      <w:pPr>
        <w:pStyle w:val="Bullet"/>
        <w:keepNext/>
      </w:pPr>
      <w:r w:rsidRPr="0052418F">
        <w:t xml:space="preserve">include an emphasis on addressing long-standing inequities for Māori and other ethnicities, through </w:t>
      </w:r>
      <w:r>
        <w:t xml:space="preserve">both </w:t>
      </w:r>
      <w:r w:rsidRPr="0052418F">
        <w:t>culturally</w:t>
      </w:r>
      <w:r>
        <w:t xml:space="preserve"> </w:t>
      </w:r>
      <w:r w:rsidRPr="0052418F">
        <w:t xml:space="preserve">specific services and </w:t>
      </w:r>
      <w:r w:rsidR="00A10EC0">
        <w:t>‘</w:t>
      </w:r>
      <w:r w:rsidRPr="0052418F">
        <w:t>mainstream</w:t>
      </w:r>
      <w:r w:rsidR="00A10EC0">
        <w:t>’</w:t>
      </w:r>
      <w:r w:rsidRPr="0052418F">
        <w:t xml:space="preserve"> services</w:t>
      </w:r>
    </w:p>
    <w:p w:rsidR="0088150A" w:rsidRPr="0052418F" w:rsidRDefault="0088150A" w:rsidP="00B01F78">
      <w:pPr>
        <w:pStyle w:val="Bullet"/>
      </w:pPr>
      <w:r w:rsidRPr="0052418F">
        <w:t>maintain the emphasis on an outcomes</w:t>
      </w:r>
      <w:r>
        <w:t>-</w:t>
      </w:r>
      <w:r w:rsidRPr="0052418F">
        <w:t xml:space="preserve"> and results-based approach to services, with a focus on achieving value for money alongside optimal service coverage.</w:t>
      </w:r>
    </w:p>
    <w:p w:rsidR="0088150A" w:rsidRDefault="0088150A" w:rsidP="00B01F78"/>
    <w:p w:rsidR="0088150A" w:rsidRDefault="0088150A" w:rsidP="00B01F78">
      <w:r>
        <w:t xml:space="preserve">The </w:t>
      </w:r>
      <w:r w:rsidR="00332421">
        <w:t xml:space="preserve">service plan </w:t>
      </w:r>
      <w:r>
        <w:t>continue</w:t>
      </w:r>
      <w:r w:rsidR="00332421">
        <w:t>s</w:t>
      </w:r>
      <w:r>
        <w:t xml:space="preserve"> to:</w:t>
      </w:r>
    </w:p>
    <w:p w:rsidR="0088150A" w:rsidRPr="002F472E" w:rsidRDefault="0088150A" w:rsidP="00B01F78">
      <w:pPr>
        <w:pStyle w:val="Bullet"/>
      </w:pPr>
      <w:r>
        <w:t>p</w:t>
      </w:r>
      <w:r w:rsidRPr="00657655">
        <w:t>rioritise</w:t>
      </w:r>
      <w:r>
        <w:t xml:space="preserve"> </w:t>
      </w:r>
      <w:r w:rsidRPr="002F472E">
        <w:t xml:space="preserve">reducing </w:t>
      </w:r>
      <w:r w:rsidRPr="00657655">
        <w:t>gambling</w:t>
      </w:r>
      <w:r w:rsidR="00463490">
        <w:t>-</w:t>
      </w:r>
      <w:r w:rsidRPr="00657655">
        <w:t>harm-</w:t>
      </w:r>
      <w:r w:rsidRPr="002F472E">
        <w:t>related health inequalities and equities for vulnerable, at</w:t>
      </w:r>
      <w:r>
        <w:t>-</w:t>
      </w:r>
      <w:r w:rsidRPr="002F472E">
        <w:t>risk populations</w:t>
      </w:r>
      <w:r>
        <w:t>;</w:t>
      </w:r>
      <w:r w:rsidRPr="002F472E">
        <w:t xml:space="preserve"> particularly </w:t>
      </w:r>
      <w:r>
        <w:t>Māori</w:t>
      </w:r>
      <w:r w:rsidRPr="002F472E">
        <w:t>, Pacific and Asian communities</w:t>
      </w:r>
    </w:p>
    <w:p w:rsidR="0088150A" w:rsidRPr="0052418F" w:rsidRDefault="0088150A" w:rsidP="00B01F78">
      <w:pPr>
        <w:pStyle w:val="Bullet"/>
      </w:pPr>
      <w:r w:rsidRPr="0052418F">
        <w:t xml:space="preserve">encourage further workforce development with public health training (in core competencies </w:t>
      </w:r>
      <w:r>
        <w:t xml:space="preserve">and </w:t>
      </w:r>
      <w:r w:rsidRPr="0052418F">
        <w:t>minimum qualifications) and intervention training (for DAPAANZ registration or equivalent</w:t>
      </w:r>
    </w:p>
    <w:p w:rsidR="00A10EC0" w:rsidRDefault="0088150A" w:rsidP="00B01F78">
      <w:pPr>
        <w:pStyle w:val="Bullet"/>
      </w:pPr>
      <w:r w:rsidRPr="00F75F94">
        <w:t xml:space="preserve">fund </w:t>
      </w:r>
      <w:r w:rsidRPr="0052418F">
        <w:t xml:space="preserve">the </w:t>
      </w:r>
      <w:r w:rsidRPr="00F75F94">
        <w:t>gambling helpline service, through the integrated national telehealth service</w:t>
      </w:r>
    </w:p>
    <w:p w:rsidR="0088150A" w:rsidRDefault="0088150A" w:rsidP="00B01F78">
      <w:pPr>
        <w:pStyle w:val="Bullet"/>
      </w:pPr>
      <w:r>
        <w:t xml:space="preserve">explore enhancing telephone support to Pacific and Asian communities with extended hours and </w:t>
      </w:r>
      <w:r w:rsidRPr="0052418F">
        <w:t>interpret</w:t>
      </w:r>
      <w:r w:rsidR="00E8472F">
        <w:t>er</w:t>
      </w:r>
      <w:r w:rsidRPr="0052418F">
        <w:t xml:space="preserve"> </w:t>
      </w:r>
      <w:r>
        <w:t>s</w:t>
      </w:r>
      <w:r w:rsidRPr="0052418F">
        <w:t>upport</w:t>
      </w:r>
      <w:r>
        <w:t>.</w:t>
      </w:r>
    </w:p>
    <w:p w:rsidR="0088150A" w:rsidRPr="00A10EC0" w:rsidRDefault="0088150A" w:rsidP="00B01F78">
      <w:pPr>
        <w:pStyle w:val="Heading3"/>
        <w:numPr>
          <w:ilvl w:val="0"/>
          <w:numId w:val="0"/>
        </w:numPr>
      </w:pPr>
      <w:r w:rsidRPr="00A10EC0">
        <w:t>Enhanced process to develop service details</w:t>
      </w:r>
    </w:p>
    <w:p w:rsidR="00A10EC0" w:rsidRDefault="0088150A" w:rsidP="00B01F78">
      <w:r w:rsidRPr="000D4E03">
        <w:t xml:space="preserve">In response to significant interest from </w:t>
      </w:r>
      <w:r>
        <w:t xml:space="preserve">a range of </w:t>
      </w:r>
      <w:r w:rsidRPr="000D4E03">
        <w:t>stakeholders</w:t>
      </w:r>
      <w:r w:rsidRPr="00A10EC0">
        <w:t xml:space="preserve">, the Ministry intends to follow an open process to develop, pilot, evaluate and implement the proposals in the </w:t>
      </w:r>
      <w:r w:rsidRPr="00A10EC0">
        <w:lastRenderedPageBreak/>
        <w:t>strategy. This will begin with M</w:t>
      </w:r>
      <w:r w:rsidRPr="000D4E03">
        <w:t>inistry</w:t>
      </w:r>
      <w:r>
        <w:t>-led</w:t>
      </w:r>
      <w:r w:rsidRPr="000D4E03">
        <w:t xml:space="preserve"> workshop</w:t>
      </w:r>
      <w:r>
        <w:t>s</w:t>
      </w:r>
      <w:r w:rsidRPr="000D4E03">
        <w:t xml:space="preserve"> to discuss the approach, scope and priorities for pilots</w:t>
      </w:r>
      <w:r>
        <w:t>,</w:t>
      </w:r>
      <w:r w:rsidRPr="000D4E03">
        <w:t xml:space="preserve"> </w:t>
      </w:r>
      <w:r>
        <w:t xml:space="preserve">followed by an invitation for </w:t>
      </w:r>
      <w:r w:rsidRPr="000D4E03">
        <w:t xml:space="preserve">specific </w:t>
      </w:r>
      <w:r>
        <w:t xml:space="preserve">detailed </w:t>
      </w:r>
      <w:r w:rsidRPr="000D4E03">
        <w:t>proposals</w:t>
      </w:r>
      <w:r>
        <w:t xml:space="preserve"> through a procurement process</w:t>
      </w:r>
      <w:r w:rsidRPr="000D4E03">
        <w:t xml:space="preserve">. </w:t>
      </w:r>
      <w:r w:rsidRPr="0052418F">
        <w:t>Pilots may include both public health and intervention components</w:t>
      </w:r>
      <w:r>
        <w:t>,</w:t>
      </w:r>
      <w:r w:rsidRPr="0052418F">
        <w:t xml:space="preserve"> and </w:t>
      </w:r>
      <w:r>
        <w:t xml:space="preserve">the Ministry </w:t>
      </w:r>
      <w:r w:rsidRPr="000D4E03">
        <w:t xml:space="preserve">will </w:t>
      </w:r>
      <w:r w:rsidRPr="0052418F">
        <w:t xml:space="preserve">evaluate </w:t>
      </w:r>
      <w:r>
        <w:t xml:space="preserve">them </w:t>
      </w:r>
      <w:r w:rsidRPr="0052418F">
        <w:t>to inform future service provision</w:t>
      </w:r>
      <w:r w:rsidRPr="000D4E03">
        <w:t>.</w:t>
      </w:r>
    </w:p>
    <w:p w:rsidR="0088150A" w:rsidRPr="0052418F" w:rsidRDefault="0088150A" w:rsidP="00B01F78">
      <w:pPr>
        <w:pStyle w:val="Heading3"/>
        <w:numPr>
          <w:ilvl w:val="0"/>
          <w:numId w:val="0"/>
        </w:numPr>
      </w:pPr>
      <w:r w:rsidRPr="00B01F78">
        <w:t>B</w:t>
      </w:r>
      <w:bookmarkStart w:id="180" w:name="_Toc156877681"/>
      <w:r w:rsidRPr="0052418F">
        <w:t>udget for 2019/20 to 2021/22</w:t>
      </w:r>
    </w:p>
    <w:p w:rsidR="0088150A" w:rsidRPr="00C10A99" w:rsidRDefault="0088150A" w:rsidP="00B01F78">
      <w:r w:rsidRPr="00C10A99">
        <w:t xml:space="preserve">The </w:t>
      </w:r>
      <w:r>
        <w:t>s</w:t>
      </w:r>
      <w:r w:rsidRPr="00C10A99">
        <w:t xml:space="preserve">ervice </w:t>
      </w:r>
      <w:r>
        <w:t>p</w:t>
      </w:r>
      <w:r w:rsidRPr="00C10A99">
        <w:t>lan outlines the services that the Ministry considers it will require for the 2019/20</w:t>
      </w:r>
      <w:r>
        <w:t>–</w:t>
      </w:r>
      <w:r w:rsidRPr="00C10A99">
        <w:t xml:space="preserve">2021/22 period to make further progress towards the objectives in the </w:t>
      </w:r>
      <w:r>
        <w:t>s</w:t>
      </w:r>
      <w:r w:rsidRPr="00C10A99">
        <w:t>trateg</w:t>
      </w:r>
      <w:r>
        <w:t xml:space="preserve">y. </w:t>
      </w:r>
      <w:r w:rsidRPr="00C10A99">
        <w:t xml:space="preserve">It also sets out </w:t>
      </w:r>
      <w:r w:rsidR="00222302">
        <w:t>the estimated costs of providing th</w:t>
      </w:r>
      <w:r w:rsidR="00151F15">
        <w:t xml:space="preserve">ese </w:t>
      </w:r>
      <w:r w:rsidR="00222302">
        <w:t>activities</w:t>
      </w:r>
      <w:r w:rsidR="00151F15">
        <w:t xml:space="preserve"> to</w:t>
      </w:r>
      <w:r w:rsidR="00222302">
        <w:t xml:space="preserve"> </w:t>
      </w:r>
      <w:r w:rsidRPr="00C10A99">
        <w:t>prevent and minimis</w:t>
      </w:r>
      <w:r w:rsidR="00222302">
        <w:t>e</w:t>
      </w:r>
      <w:r w:rsidRPr="00C10A99">
        <w:t xml:space="preserve"> gambling harm</w:t>
      </w:r>
      <w:r w:rsidR="00222302">
        <w:t xml:space="preserve">. These costs </w:t>
      </w:r>
      <w:r>
        <w:t>cover the four nominal budget areas, plus a line item for new services and innovation pilots</w:t>
      </w:r>
      <w:r w:rsidRPr="00C10A99">
        <w:t>:</w:t>
      </w:r>
    </w:p>
    <w:p w:rsidR="0088150A" w:rsidRPr="00C10A99" w:rsidRDefault="0088150A" w:rsidP="00B01F78">
      <w:pPr>
        <w:pStyle w:val="Bullet"/>
      </w:pPr>
      <w:r w:rsidRPr="00C10A99">
        <w:t>public health services</w:t>
      </w:r>
    </w:p>
    <w:p w:rsidR="0088150A" w:rsidRPr="00C10A99" w:rsidRDefault="0088150A" w:rsidP="00B01F78">
      <w:pPr>
        <w:pStyle w:val="Bullet"/>
      </w:pPr>
      <w:r w:rsidRPr="00C10A99">
        <w:t>intervention services</w:t>
      </w:r>
    </w:p>
    <w:p w:rsidR="0088150A" w:rsidRPr="00C10A99" w:rsidRDefault="0088150A" w:rsidP="00B01F78">
      <w:pPr>
        <w:pStyle w:val="Bullet"/>
      </w:pPr>
      <w:r w:rsidRPr="00C10A99">
        <w:t>research and evaluation</w:t>
      </w:r>
    </w:p>
    <w:p w:rsidR="00A10EC0" w:rsidRDefault="0088150A" w:rsidP="00B01F78">
      <w:pPr>
        <w:pStyle w:val="Bullet"/>
      </w:pPr>
      <w:r>
        <w:t>new services and innovation pilots</w:t>
      </w:r>
    </w:p>
    <w:p w:rsidR="0088150A" w:rsidRDefault="0088150A" w:rsidP="00B01F78">
      <w:pPr>
        <w:pStyle w:val="Bullet"/>
      </w:pPr>
      <w:r w:rsidRPr="00C10A99">
        <w:t>Ministry operating costs</w:t>
      </w:r>
      <w:r>
        <w:t>.</w:t>
      </w:r>
    </w:p>
    <w:p w:rsidR="00B01F78" w:rsidRDefault="00B01F78" w:rsidP="00B01F78">
      <w:bookmarkStart w:id="181" w:name="_Toc156877700"/>
      <w:bookmarkStart w:id="182" w:name="_Toc229197708"/>
      <w:bookmarkStart w:id="183" w:name="_Toc229197715"/>
      <w:bookmarkStart w:id="184" w:name="_Toc230066541"/>
      <w:bookmarkStart w:id="185" w:name="_Toc86049958"/>
      <w:bookmarkStart w:id="186" w:name="_Toc67802933"/>
      <w:bookmarkStart w:id="187" w:name="_Toc56522591"/>
      <w:bookmarkEnd w:id="180"/>
    </w:p>
    <w:p w:rsidR="0088150A" w:rsidRPr="00C10A99" w:rsidRDefault="0088150A" w:rsidP="00B01F78">
      <w:r w:rsidRPr="00D528A0">
        <w:t>Table 1</w:t>
      </w:r>
      <w:r>
        <w:t>5</w:t>
      </w:r>
      <w:r w:rsidRPr="00C10A99">
        <w:t xml:space="preserve"> shows </w:t>
      </w:r>
      <w:r>
        <w:t xml:space="preserve">the </w:t>
      </w:r>
      <w:r w:rsidR="00222302">
        <w:t xml:space="preserve">budgeted </w:t>
      </w:r>
      <w:r w:rsidR="00151F15">
        <w:t>costs for</w:t>
      </w:r>
      <w:r>
        <w:t xml:space="preserve"> </w:t>
      </w:r>
      <w:r w:rsidRPr="00C10A99">
        <w:t>2019/20</w:t>
      </w:r>
      <w:r>
        <w:t>–</w:t>
      </w:r>
      <w:r w:rsidRPr="00C10A99">
        <w:t>2021/22</w:t>
      </w:r>
      <w:r w:rsidR="00222302">
        <w:t xml:space="preserve">. </w:t>
      </w:r>
      <w:r>
        <w:t>The remaining s</w:t>
      </w:r>
      <w:r w:rsidRPr="00C10A99">
        <w:t xml:space="preserve">ections discuss each </w:t>
      </w:r>
      <w:r w:rsidR="00B01F78">
        <w:t>of the line items in T</w:t>
      </w:r>
      <w:r>
        <w:t xml:space="preserve">able 15 </w:t>
      </w:r>
      <w:r w:rsidRPr="00C10A99">
        <w:t>in more detail.</w:t>
      </w:r>
    </w:p>
    <w:p w:rsidR="0088150A" w:rsidRDefault="0088150A" w:rsidP="00B01F78"/>
    <w:p w:rsidR="0088150A" w:rsidRPr="00CB41EF" w:rsidRDefault="0088150A" w:rsidP="00B01F78">
      <w:pPr>
        <w:keepLines/>
      </w:pPr>
      <w:r w:rsidRPr="00AB4396">
        <w:t xml:space="preserve">The </w:t>
      </w:r>
      <w:r>
        <w:t xml:space="preserve">strategy </w:t>
      </w:r>
      <w:r w:rsidR="00222302">
        <w:t xml:space="preserve">provides for a total estimated cost of $60.339 million in </w:t>
      </w:r>
      <w:r w:rsidR="00151F15">
        <w:t>Ministry spending</w:t>
      </w:r>
      <w:r>
        <w:t xml:space="preserve"> </w:t>
      </w:r>
      <w:r w:rsidR="00222302">
        <w:t>over the</w:t>
      </w:r>
      <w:r>
        <w:t xml:space="preserve"> next </w:t>
      </w:r>
      <w:r w:rsidRPr="00AB4396">
        <w:t xml:space="preserve">three-year </w:t>
      </w:r>
      <w:r>
        <w:t>levy period</w:t>
      </w:r>
      <w:r w:rsidR="00222302">
        <w:t xml:space="preserve">. </w:t>
      </w:r>
      <w:r w:rsidRPr="00CB41EF">
        <w:t>Th</w:t>
      </w:r>
      <w:r w:rsidR="004B0B0C">
        <w:t xml:space="preserve">is is a $5 million </w:t>
      </w:r>
      <w:r w:rsidRPr="00CB41EF">
        <w:t xml:space="preserve">increase in </w:t>
      </w:r>
      <w:r w:rsidR="004B0B0C">
        <w:t xml:space="preserve">three-year funding compared with the current levy period. This </w:t>
      </w:r>
      <w:r w:rsidR="00222302">
        <w:t xml:space="preserve">extra funding </w:t>
      </w:r>
      <w:r w:rsidR="004B0B0C">
        <w:t xml:space="preserve">is required </w:t>
      </w:r>
      <w:r w:rsidRPr="00CB41EF">
        <w:t>because:</w:t>
      </w:r>
    </w:p>
    <w:p w:rsidR="00A10EC0" w:rsidRDefault="0088150A" w:rsidP="00B01F78">
      <w:pPr>
        <w:pStyle w:val="Bullet"/>
      </w:pPr>
      <w:r w:rsidRPr="007269AE">
        <w:t>funding levels and appropriations have remained largely unchanged since 2008/09</w:t>
      </w:r>
      <w:r>
        <w:t>,</w:t>
      </w:r>
      <w:r w:rsidRPr="007269AE">
        <w:t xml:space="preserve"> but the number of </w:t>
      </w:r>
      <w:r>
        <w:t>people</w:t>
      </w:r>
      <w:r w:rsidRPr="007269AE">
        <w:t xml:space="preserve"> affected has </w:t>
      </w:r>
      <w:r>
        <w:t xml:space="preserve">steadily </w:t>
      </w:r>
      <w:r w:rsidRPr="007269AE">
        <w:t>increased in line with population growth</w:t>
      </w:r>
    </w:p>
    <w:p w:rsidR="00A10EC0" w:rsidRDefault="0088150A" w:rsidP="00B01F78">
      <w:pPr>
        <w:pStyle w:val="Bullet"/>
      </w:pPr>
      <w:r w:rsidRPr="007269AE">
        <w:t xml:space="preserve">the Ministry proposes to change the service </w:t>
      </w:r>
      <w:r>
        <w:t xml:space="preserve">focus and </w:t>
      </w:r>
      <w:r w:rsidRPr="007269AE">
        <w:t xml:space="preserve">mix to address </w:t>
      </w:r>
      <w:r>
        <w:t xml:space="preserve">the </w:t>
      </w:r>
      <w:r w:rsidRPr="007269AE">
        <w:t>matters and priorities noted above</w:t>
      </w:r>
      <w:r>
        <w:t xml:space="preserve"> and also pilot new activities</w:t>
      </w:r>
      <w:r w:rsidR="00A528EA">
        <w:t xml:space="preserve"> and technologies</w:t>
      </w:r>
    </w:p>
    <w:p w:rsidR="0088150A" w:rsidRDefault="0088150A" w:rsidP="00B01F78">
      <w:pPr>
        <w:pStyle w:val="Bullet"/>
      </w:pPr>
      <w:r>
        <w:t xml:space="preserve">the pilots will enable innovative solutions to </w:t>
      </w:r>
      <w:r w:rsidRPr="00782C8B">
        <w:t xml:space="preserve">address areas of systemic, persistent gambling harm and </w:t>
      </w:r>
      <w:r>
        <w:t xml:space="preserve">vulnerable </w:t>
      </w:r>
      <w:r w:rsidRPr="00782C8B">
        <w:t>communities</w:t>
      </w:r>
      <w:r>
        <w:t xml:space="preserve"> and to target the </w:t>
      </w:r>
      <w:r w:rsidRPr="00782C8B">
        <w:t xml:space="preserve">priority areas </w:t>
      </w:r>
      <w:r>
        <w:t>and vulnerable groups described above</w:t>
      </w:r>
    </w:p>
    <w:p w:rsidR="0088150A" w:rsidRDefault="003E2753" w:rsidP="00B01F78">
      <w:pPr>
        <w:pStyle w:val="Bullet"/>
      </w:pPr>
      <w:r>
        <w:t xml:space="preserve">it </w:t>
      </w:r>
      <w:r w:rsidR="0088150A">
        <w:t xml:space="preserve">will enable the Ministry to maintain baseline services while </w:t>
      </w:r>
      <w:r>
        <w:t xml:space="preserve">it </w:t>
      </w:r>
      <w:r w:rsidR="0088150A">
        <w:t>pilot</w:t>
      </w:r>
      <w:r>
        <w:t xml:space="preserve">s </w:t>
      </w:r>
      <w:r w:rsidR="0088150A">
        <w:t>new interventions and service models and undertak</w:t>
      </w:r>
      <w:r>
        <w:t>es</w:t>
      </w:r>
      <w:r w:rsidR="0088150A">
        <w:t xml:space="preserve"> further evaluations</w:t>
      </w:r>
      <w:r w:rsidR="00A528EA">
        <w:t xml:space="preserve">, </w:t>
      </w:r>
      <w:r w:rsidR="0088150A">
        <w:t>to assess where to best direct resources in the long term.</w:t>
      </w:r>
    </w:p>
    <w:p w:rsidR="0088150A" w:rsidRPr="00782C8B" w:rsidRDefault="0088150A" w:rsidP="00B01F78"/>
    <w:p w:rsidR="0088150A" w:rsidRDefault="0088150A" w:rsidP="00B01F78">
      <w:r>
        <w:t>The Ministry will consider whether this increase in budget should be maintained in full or</w:t>
      </w:r>
      <w:r w:rsidR="00B959F6">
        <w:t xml:space="preserve"> in</w:t>
      </w:r>
      <w:r>
        <w:t xml:space="preserve"> part in future years based on what it learns </w:t>
      </w:r>
      <w:r w:rsidR="00B959F6">
        <w:t>during</w:t>
      </w:r>
      <w:r>
        <w:t xml:space="preserve"> implementation. </w:t>
      </w:r>
      <w:r w:rsidR="00B959F6">
        <w:t xml:space="preserve">If </w:t>
      </w:r>
      <w:r>
        <w:t xml:space="preserve">a number of pilots </w:t>
      </w:r>
      <w:r w:rsidR="00B959F6">
        <w:t>are</w:t>
      </w:r>
      <w:r>
        <w:t xml:space="preserve"> evaluated as successful, the Ministry is likely to seek an increase in the level of its </w:t>
      </w:r>
      <w:r w:rsidR="003E2753">
        <w:t xml:space="preserve">overall </w:t>
      </w:r>
      <w:r>
        <w:t>funding accordingly for the 2022/23–2025/26 levy period.</w:t>
      </w:r>
    </w:p>
    <w:p w:rsidR="00B01F78" w:rsidRDefault="00B01F78" w:rsidP="00B01F78"/>
    <w:p w:rsidR="00322E9B" w:rsidRDefault="00322E9B">
      <w:pPr>
        <w:rPr>
          <w:b/>
          <w:sz w:val="20"/>
        </w:rPr>
      </w:pPr>
      <w:bookmarkStart w:id="188" w:name="_Toc517091239"/>
      <w:bookmarkStart w:id="189" w:name="_Toc530487437"/>
      <w:r>
        <w:br w:type="page"/>
      </w:r>
    </w:p>
    <w:p w:rsidR="0088150A" w:rsidRPr="00340A98" w:rsidRDefault="0088150A" w:rsidP="005A26D2">
      <w:pPr>
        <w:pStyle w:val="Table"/>
      </w:pPr>
      <w:bookmarkStart w:id="190" w:name="_Toc4156633"/>
      <w:bookmarkStart w:id="191" w:name="_Toc8398933"/>
      <w:r w:rsidRPr="00BC3003">
        <w:lastRenderedPageBreak/>
        <w:t>T</w:t>
      </w:r>
      <w:r>
        <w:t>able</w:t>
      </w:r>
      <w:r w:rsidRPr="00BC3003">
        <w:t xml:space="preserve"> </w:t>
      </w:r>
      <w:r w:rsidR="00762F08">
        <w:rPr>
          <w:noProof/>
        </w:rPr>
        <w:fldChar w:fldCharType="begin"/>
      </w:r>
      <w:r w:rsidR="00762F08">
        <w:rPr>
          <w:noProof/>
        </w:rPr>
        <w:instrText xml:space="preserve"> SEQ Table \* ARABIC </w:instrText>
      </w:r>
      <w:r w:rsidR="00762F08">
        <w:rPr>
          <w:noProof/>
        </w:rPr>
        <w:fldChar w:fldCharType="separate"/>
      </w:r>
      <w:r w:rsidR="0002049A">
        <w:rPr>
          <w:noProof/>
        </w:rPr>
        <w:t>15</w:t>
      </w:r>
      <w:r w:rsidR="00762F08">
        <w:rPr>
          <w:noProof/>
        </w:rPr>
        <w:fldChar w:fldCharType="end"/>
      </w:r>
      <w:r>
        <w:t>:</w:t>
      </w:r>
      <w:r w:rsidRPr="00BC3003">
        <w:t xml:space="preserve"> </w:t>
      </w:r>
      <w:r w:rsidR="00222302">
        <w:t>B</w:t>
      </w:r>
      <w:r w:rsidRPr="00BC3003">
        <w:t>udget to prevent and minimise gambling harm (GST</w:t>
      </w:r>
      <w:r w:rsidR="00133362">
        <w:t xml:space="preserve"> </w:t>
      </w:r>
      <w:r w:rsidRPr="00BC3003">
        <w:t>exclusive), 2019/20</w:t>
      </w:r>
      <w:r>
        <w:t>–20</w:t>
      </w:r>
      <w:r w:rsidRPr="00BC3003">
        <w:t>21/22</w:t>
      </w:r>
      <w:bookmarkEnd w:id="188"/>
      <w:bookmarkEnd w:id="189"/>
      <w:bookmarkEnd w:id="190"/>
      <w:bookmarkEnd w:id="191"/>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3969"/>
        <w:gridCol w:w="1027"/>
        <w:gridCol w:w="1028"/>
        <w:gridCol w:w="1028"/>
        <w:gridCol w:w="1028"/>
      </w:tblGrid>
      <w:tr w:rsidR="0088150A" w:rsidRPr="00B01F78" w:rsidTr="0062363F">
        <w:trPr>
          <w:cantSplit/>
        </w:trPr>
        <w:tc>
          <w:tcPr>
            <w:tcW w:w="3969" w:type="dxa"/>
            <w:tcBorders>
              <w:top w:val="nil"/>
              <w:bottom w:val="nil"/>
            </w:tcBorders>
            <w:shd w:val="clear" w:color="auto" w:fill="D9D9D9" w:themeFill="background1" w:themeFillShade="D9"/>
            <w:noWrap/>
          </w:tcPr>
          <w:p w:rsidR="0088150A" w:rsidRPr="00B01F78" w:rsidRDefault="0088150A" w:rsidP="002B4C78">
            <w:pPr>
              <w:pStyle w:val="TableText"/>
              <w:keepNext/>
              <w:rPr>
                <w:b/>
              </w:rPr>
            </w:pPr>
            <w:r w:rsidRPr="00B01F78">
              <w:rPr>
                <w:b/>
              </w:rPr>
              <w:t>Service area</w:t>
            </w:r>
          </w:p>
        </w:tc>
        <w:tc>
          <w:tcPr>
            <w:tcW w:w="1027" w:type="dxa"/>
            <w:tcBorders>
              <w:top w:val="nil"/>
              <w:bottom w:val="nil"/>
            </w:tcBorders>
            <w:shd w:val="clear" w:color="auto" w:fill="D9D9D9" w:themeFill="background1" w:themeFillShade="D9"/>
            <w:noWrap/>
          </w:tcPr>
          <w:p w:rsidR="0088150A" w:rsidRPr="00B01F78" w:rsidRDefault="0088150A" w:rsidP="002B4C78">
            <w:pPr>
              <w:pStyle w:val="TableText"/>
              <w:keepNext/>
              <w:jc w:val="center"/>
              <w:rPr>
                <w:b/>
              </w:rPr>
            </w:pPr>
            <w:r w:rsidRPr="00B01F78">
              <w:rPr>
                <w:b/>
              </w:rPr>
              <w:t>2019/20</w:t>
            </w:r>
            <w:r w:rsidRPr="00B01F78">
              <w:rPr>
                <w:b/>
              </w:rPr>
              <w:br/>
              <w:t>($m)</w:t>
            </w:r>
          </w:p>
        </w:tc>
        <w:tc>
          <w:tcPr>
            <w:tcW w:w="1028" w:type="dxa"/>
            <w:tcBorders>
              <w:top w:val="nil"/>
              <w:bottom w:val="nil"/>
            </w:tcBorders>
            <w:shd w:val="clear" w:color="auto" w:fill="D9D9D9" w:themeFill="background1" w:themeFillShade="D9"/>
            <w:noWrap/>
          </w:tcPr>
          <w:p w:rsidR="0088150A" w:rsidRPr="00B01F78" w:rsidRDefault="0088150A" w:rsidP="002B4C78">
            <w:pPr>
              <w:pStyle w:val="TableText"/>
              <w:keepNext/>
              <w:jc w:val="center"/>
              <w:rPr>
                <w:b/>
              </w:rPr>
            </w:pPr>
            <w:r w:rsidRPr="00B01F78">
              <w:rPr>
                <w:b/>
              </w:rPr>
              <w:t>2020/21</w:t>
            </w:r>
            <w:r w:rsidRPr="00B01F78">
              <w:rPr>
                <w:b/>
              </w:rPr>
              <w:br/>
              <w:t>($m)</w:t>
            </w:r>
          </w:p>
        </w:tc>
        <w:tc>
          <w:tcPr>
            <w:tcW w:w="1028" w:type="dxa"/>
            <w:tcBorders>
              <w:top w:val="nil"/>
              <w:bottom w:val="nil"/>
            </w:tcBorders>
            <w:shd w:val="clear" w:color="auto" w:fill="D9D9D9" w:themeFill="background1" w:themeFillShade="D9"/>
            <w:noWrap/>
          </w:tcPr>
          <w:p w:rsidR="0088150A" w:rsidRPr="00B01F78" w:rsidRDefault="0088150A" w:rsidP="002B4C78">
            <w:pPr>
              <w:pStyle w:val="TableText"/>
              <w:keepNext/>
              <w:jc w:val="center"/>
              <w:rPr>
                <w:b/>
              </w:rPr>
            </w:pPr>
            <w:r w:rsidRPr="00B01F78">
              <w:rPr>
                <w:b/>
              </w:rPr>
              <w:t>2021/22</w:t>
            </w:r>
            <w:r w:rsidRPr="00B01F78">
              <w:rPr>
                <w:b/>
              </w:rPr>
              <w:br/>
              <w:t>($m)</w:t>
            </w:r>
          </w:p>
        </w:tc>
        <w:tc>
          <w:tcPr>
            <w:tcW w:w="1028" w:type="dxa"/>
            <w:tcBorders>
              <w:top w:val="nil"/>
              <w:bottom w:val="nil"/>
            </w:tcBorders>
            <w:shd w:val="clear" w:color="auto" w:fill="D9D9D9" w:themeFill="background1" w:themeFillShade="D9"/>
          </w:tcPr>
          <w:p w:rsidR="0088150A" w:rsidRPr="00B01F78" w:rsidRDefault="0088150A" w:rsidP="002B4C78">
            <w:pPr>
              <w:pStyle w:val="TableText"/>
              <w:keepNext/>
              <w:jc w:val="center"/>
              <w:rPr>
                <w:b/>
              </w:rPr>
            </w:pPr>
            <w:r w:rsidRPr="00B01F78">
              <w:rPr>
                <w:b/>
              </w:rPr>
              <w:t>Total</w:t>
            </w:r>
            <w:r w:rsidRPr="00B01F78">
              <w:rPr>
                <w:b/>
              </w:rPr>
              <w:br/>
              <w:t>($m)</w:t>
            </w:r>
          </w:p>
        </w:tc>
      </w:tr>
      <w:tr w:rsidR="0088150A" w:rsidRPr="00722D81" w:rsidTr="0062363F">
        <w:trPr>
          <w:cantSplit/>
        </w:trPr>
        <w:tc>
          <w:tcPr>
            <w:tcW w:w="3969" w:type="dxa"/>
            <w:tcBorders>
              <w:top w:val="nil"/>
            </w:tcBorders>
            <w:shd w:val="clear" w:color="auto" w:fill="auto"/>
            <w:noWrap/>
          </w:tcPr>
          <w:p w:rsidR="0088150A" w:rsidRPr="000178AF" w:rsidRDefault="0088150A" w:rsidP="002B4C78">
            <w:pPr>
              <w:pStyle w:val="TableText"/>
              <w:keepNext/>
            </w:pPr>
            <w:r w:rsidRPr="000178AF">
              <w:t>Public health services (harm prevention and minimisation)</w:t>
            </w:r>
          </w:p>
        </w:tc>
        <w:tc>
          <w:tcPr>
            <w:tcW w:w="1027" w:type="dxa"/>
            <w:tcBorders>
              <w:top w:val="nil"/>
            </w:tcBorders>
            <w:shd w:val="clear" w:color="000000" w:fill="FFFFFF"/>
            <w:noWrap/>
          </w:tcPr>
          <w:p w:rsidR="0088150A" w:rsidRPr="002474C2" w:rsidRDefault="0088150A" w:rsidP="002B4C78">
            <w:pPr>
              <w:pStyle w:val="TableText"/>
              <w:keepNext/>
              <w:tabs>
                <w:tab w:val="decimal" w:pos="369"/>
              </w:tabs>
              <w:rPr>
                <w:rFonts w:eastAsia="Arial Unicode MS" w:cs="Segoe UI"/>
                <w:lang w:eastAsia="en-NZ"/>
              </w:rPr>
            </w:pPr>
            <w:r w:rsidRPr="002474C2">
              <w:rPr>
                <w:rFonts w:cs="Segoe UI"/>
              </w:rPr>
              <w:t>6.870</w:t>
            </w:r>
          </w:p>
        </w:tc>
        <w:tc>
          <w:tcPr>
            <w:tcW w:w="1028" w:type="dxa"/>
            <w:tcBorders>
              <w:top w:val="nil"/>
            </w:tcBorders>
            <w:shd w:val="clear" w:color="000000" w:fill="FFFFFF"/>
            <w:noWrap/>
          </w:tcPr>
          <w:p w:rsidR="0088150A" w:rsidRPr="002474C2" w:rsidRDefault="0088150A" w:rsidP="002B4C78">
            <w:pPr>
              <w:pStyle w:val="TableText"/>
              <w:keepNext/>
              <w:tabs>
                <w:tab w:val="decimal" w:pos="369"/>
              </w:tabs>
              <w:rPr>
                <w:rFonts w:eastAsia="Arial Unicode MS" w:cs="Segoe UI"/>
                <w:lang w:eastAsia="en-NZ"/>
              </w:rPr>
            </w:pPr>
            <w:r w:rsidRPr="002474C2">
              <w:rPr>
                <w:rFonts w:cs="Segoe UI"/>
              </w:rPr>
              <w:t>6.790</w:t>
            </w:r>
          </w:p>
        </w:tc>
        <w:tc>
          <w:tcPr>
            <w:tcW w:w="1028" w:type="dxa"/>
            <w:tcBorders>
              <w:top w:val="nil"/>
            </w:tcBorders>
            <w:shd w:val="clear" w:color="000000" w:fill="FFFFFF"/>
            <w:noWrap/>
          </w:tcPr>
          <w:p w:rsidR="0088150A" w:rsidRPr="002474C2" w:rsidRDefault="0088150A" w:rsidP="002B4C78">
            <w:pPr>
              <w:pStyle w:val="TableText"/>
              <w:keepNext/>
              <w:tabs>
                <w:tab w:val="decimal" w:pos="369"/>
              </w:tabs>
              <w:rPr>
                <w:rFonts w:eastAsia="Arial Unicode MS" w:cs="Segoe UI"/>
                <w:lang w:eastAsia="en-NZ"/>
              </w:rPr>
            </w:pPr>
            <w:r w:rsidRPr="002474C2">
              <w:rPr>
                <w:rFonts w:cs="Segoe UI"/>
              </w:rPr>
              <w:t>6.870</w:t>
            </w:r>
          </w:p>
        </w:tc>
        <w:tc>
          <w:tcPr>
            <w:tcW w:w="1028" w:type="dxa"/>
            <w:tcBorders>
              <w:top w:val="nil"/>
            </w:tcBorders>
            <w:shd w:val="clear" w:color="000000" w:fill="FFFFFF"/>
          </w:tcPr>
          <w:p w:rsidR="0088150A" w:rsidRPr="002474C2" w:rsidRDefault="0088150A" w:rsidP="002B4C78">
            <w:pPr>
              <w:pStyle w:val="TableText"/>
              <w:keepNext/>
              <w:tabs>
                <w:tab w:val="decimal" w:pos="369"/>
              </w:tabs>
              <w:rPr>
                <w:rFonts w:eastAsia="Arial Unicode MS" w:cs="Segoe UI"/>
                <w:lang w:eastAsia="en-NZ"/>
              </w:rPr>
            </w:pPr>
            <w:r w:rsidRPr="002474C2">
              <w:rPr>
                <w:rFonts w:cs="Segoe UI"/>
              </w:rPr>
              <w:t>20.530</w:t>
            </w:r>
          </w:p>
        </w:tc>
      </w:tr>
      <w:tr w:rsidR="0088150A" w:rsidRPr="00722D81" w:rsidTr="002474C2">
        <w:trPr>
          <w:cantSplit/>
        </w:trPr>
        <w:tc>
          <w:tcPr>
            <w:tcW w:w="3969" w:type="dxa"/>
            <w:shd w:val="clear" w:color="auto" w:fill="auto"/>
            <w:noWrap/>
          </w:tcPr>
          <w:p w:rsidR="0088150A" w:rsidRPr="000178AF" w:rsidRDefault="0088150A" w:rsidP="002B4C78">
            <w:pPr>
              <w:pStyle w:val="TableText"/>
              <w:keepNext/>
            </w:pPr>
            <w:r w:rsidRPr="000178AF">
              <w:t>Intervention services (</w:t>
            </w:r>
            <w:r>
              <w:t xml:space="preserve">to </w:t>
            </w:r>
            <w:r w:rsidRPr="000178AF">
              <w:t>treat and help problem gamblers and their families</w:t>
            </w:r>
            <w:r w:rsidR="009C5BBD">
              <w:t xml:space="preserve"> and </w:t>
            </w:r>
            <w:r w:rsidRPr="000178AF">
              <w:t>wh</w:t>
            </w:r>
            <w:r w:rsidRPr="000178AF">
              <w:rPr>
                <w:rFonts w:cs="Arial"/>
              </w:rPr>
              <w:t>ā</w:t>
            </w:r>
            <w:r w:rsidRPr="000178AF">
              <w:t>nau)</w:t>
            </w:r>
          </w:p>
        </w:tc>
        <w:tc>
          <w:tcPr>
            <w:tcW w:w="1027" w:type="dxa"/>
            <w:shd w:val="clear" w:color="auto" w:fill="auto"/>
            <w:noWrap/>
          </w:tcPr>
          <w:p w:rsidR="0088150A" w:rsidRPr="002474C2" w:rsidRDefault="0088150A">
            <w:pPr>
              <w:pStyle w:val="TableText"/>
              <w:keepNext/>
              <w:tabs>
                <w:tab w:val="decimal" w:pos="369"/>
              </w:tabs>
              <w:rPr>
                <w:rFonts w:eastAsia="Arial Unicode MS" w:cs="Segoe UI"/>
                <w:lang w:eastAsia="en-NZ"/>
              </w:rPr>
            </w:pPr>
            <w:r w:rsidRPr="002474C2">
              <w:rPr>
                <w:rFonts w:cs="Segoe UI"/>
              </w:rPr>
              <w:t>8.</w:t>
            </w:r>
            <w:r w:rsidR="00B97B57" w:rsidRPr="002474C2">
              <w:rPr>
                <w:rFonts w:cs="Segoe UI"/>
              </w:rPr>
              <w:t>4</w:t>
            </w:r>
            <w:r w:rsidR="00B97B57">
              <w:rPr>
                <w:rFonts w:cs="Segoe UI"/>
              </w:rPr>
              <w:t>1</w:t>
            </w:r>
            <w:r w:rsidR="00B97B57" w:rsidRPr="002474C2">
              <w:rPr>
                <w:rFonts w:cs="Segoe UI"/>
              </w:rPr>
              <w:t>3</w:t>
            </w:r>
          </w:p>
        </w:tc>
        <w:tc>
          <w:tcPr>
            <w:tcW w:w="1028" w:type="dxa"/>
            <w:shd w:val="clear" w:color="auto" w:fill="auto"/>
            <w:noWrap/>
          </w:tcPr>
          <w:p w:rsidR="0088150A" w:rsidRPr="002474C2" w:rsidRDefault="0088150A">
            <w:pPr>
              <w:pStyle w:val="TableText"/>
              <w:keepNext/>
              <w:tabs>
                <w:tab w:val="decimal" w:pos="369"/>
              </w:tabs>
              <w:rPr>
                <w:rFonts w:eastAsia="Arial Unicode MS" w:cs="Segoe UI"/>
                <w:lang w:eastAsia="en-NZ"/>
              </w:rPr>
            </w:pPr>
            <w:r w:rsidRPr="002474C2">
              <w:rPr>
                <w:rFonts w:cs="Segoe UI"/>
              </w:rPr>
              <w:t>8.</w:t>
            </w:r>
            <w:r w:rsidR="00B97B57" w:rsidRPr="002474C2">
              <w:rPr>
                <w:rFonts w:cs="Segoe UI"/>
              </w:rPr>
              <w:t>4</w:t>
            </w:r>
            <w:r w:rsidR="00B97B57">
              <w:rPr>
                <w:rFonts w:cs="Segoe UI"/>
              </w:rPr>
              <w:t>1</w:t>
            </w:r>
            <w:r w:rsidR="00B97B57" w:rsidRPr="002474C2">
              <w:rPr>
                <w:rFonts w:cs="Segoe UI"/>
              </w:rPr>
              <w:t>5</w:t>
            </w:r>
          </w:p>
        </w:tc>
        <w:tc>
          <w:tcPr>
            <w:tcW w:w="1028" w:type="dxa"/>
            <w:shd w:val="clear" w:color="auto" w:fill="auto"/>
            <w:noWrap/>
          </w:tcPr>
          <w:p w:rsidR="0088150A" w:rsidRPr="002474C2" w:rsidRDefault="0088150A">
            <w:pPr>
              <w:pStyle w:val="TableText"/>
              <w:keepNext/>
              <w:tabs>
                <w:tab w:val="decimal" w:pos="369"/>
              </w:tabs>
              <w:rPr>
                <w:rFonts w:eastAsia="Arial Unicode MS" w:cs="Segoe UI"/>
                <w:lang w:eastAsia="en-NZ"/>
              </w:rPr>
            </w:pPr>
            <w:r w:rsidRPr="002474C2">
              <w:rPr>
                <w:rFonts w:cs="Segoe UI"/>
              </w:rPr>
              <w:t>8.</w:t>
            </w:r>
            <w:r w:rsidR="00B97B57" w:rsidRPr="002474C2">
              <w:rPr>
                <w:rFonts w:cs="Segoe UI"/>
              </w:rPr>
              <w:t>4</w:t>
            </w:r>
            <w:r w:rsidR="00B97B57">
              <w:rPr>
                <w:rFonts w:cs="Segoe UI"/>
              </w:rPr>
              <w:t>1</w:t>
            </w:r>
            <w:r w:rsidR="00B97B57" w:rsidRPr="002474C2">
              <w:rPr>
                <w:rFonts w:cs="Segoe UI"/>
              </w:rPr>
              <w:t>5</w:t>
            </w:r>
          </w:p>
        </w:tc>
        <w:tc>
          <w:tcPr>
            <w:tcW w:w="1028" w:type="dxa"/>
            <w:shd w:val="clear" w:color="auto" w:fill="auto"/>
          </w:tcPr>
          <w:p w:rsidR="0088150A" w:rsidRPr="002474C2" w:rsidRDefault="0088150A" w:rsidP="002B4C78">
            <w:pPr>
              <w:pStyle w:val="TableText"/>
              <w:keepNext/>
              <w:tabs>
                <w:tab w:val="decimal" w:pos="369"/>
              </w:tabs>
              <w:rPr>
                <w:rFonts w:eastAsia="Arial Unicode MS" w:cs="Segoe UI"/>
                <w:lang w:eastAsia="en-NZ"/>
              </w:rPr>
            </w:pPr>
            <w:r w:rsidRPr="002474C2">
              <w:rPr>
                <w:rFonts w:cs="Segoe UI"/>
              </w:rPr>
              <w:t>25.243</w:t>
            </w:r>
          </w:p>
        </w:tc>
      </w:tr>
      <w:tr w:rsidR="0088150A" w:rsidRPr="00722D81" w:rsidTr="002474C2">
        <w:trPr>
          <w:cantSplit/>
        </w:trPr>
        <w:tc>
          <w:tcPr>
            <w:tcW w:w="3969" w:type="dxa"/>
            <w:shd w:val="clear" w:color="auto" w:fill="auto"/>
            <w:noWrap/>
          </w:tcPr>
          <w:p w:rsidR="0088150A" w:rsidRPr="000178AF" w:rsidRDefault="0088150A" w:rsidP="00B01F78">
            <w:pPr>
              <w:pStyle w:val="TableText"/>
            </w:pPr>
            <w:r w:rsidRPr="000178AF">
              <w:t>Research and evaluation</w:t>
            </w:r>
          </w:p>
        </w:tc>
        <w:tc>
          <w:tcPr>
            <w:tcW w:w="1027" w:type="dxa"/>
            <w:shd w:val="clear" w:color="auto" w:fill="auto"/>
            <w:noWrap/>
          </w:tcPr>
          <w:p w:rsidR="0088150A" w:rsidRPr="002474C2" w:rsidRDefault="0088150A" w:rsidP="002474C2">
            <w:pPr>
              <w:pStyle w:val="TableText"/>
              <w:tabs>
                <w:tab w:val="decimal" w:pos="369"/>
              </w:tabs>
              <w:rPr>
                <w:rFonts w:eastAsia="Arial Unicode MS" w:cs="Segoe UI"/>
                <w:lang w:eastAsia="en-NZ"/>
              </w:rPr>
            </w:pPr>
            <w:r w:rsidRPr="002474C2">
              <w:rPr>
                <w:rFonts w:cs="Segoe UI"/>
              </w:rPr>
              <w:t>2.060</w:t>
            </w:r>
          </w:p>
        </w:tc>
        <w:tc>
          <w:tcPr>
            <w:tcW w:w="1028" w:type="dxa"/>
            <w:shd w:val="clear" w:color="auto" w:fill="auto"/>
            <w:noWrap/>
          </w:tcPr>
          <w:p w:rsidR="0088150A" w:rsidRPr="002474C2" w:rsidRDefault="0088150A" w:rsidP="002474C2">
            <w:pPr>
              <w:pStyle w:val="TableText"/>
              <w:tabs>
                <w:tab w:val="decimal" w:pos="369"/>
              </w:tabs>
              <w:rPr>
                <w:rFonts w:eastAsia="Arial Unicode MS" w:cs="Segoe UI"/>
                <w:lang w:eastAsia="en-NZ"/>
              </w:rPr>
            </w:pPr>
            <w:r w:rsidRPr="002474C2">
              <w:rPr>
                <w:rFonts w:cs="Segoe UI"/>
              </w:rPr>
              <w:t>2.219</w:t>
            </w:r>
          </w:p>
        </w:tc>
        <w:tc>
          <w:tcPr>
            <w:tcW w:w="1028" w:type="dxa"/>
            <w:shd w:val="clear" w:color="auto" w:fill="auto"/>
            <w:noWrap/>
          </w:tcPr>
          <w:p w:rsidR="0088150A" w:rsidRPr="002474C2" w:rsidRDefault="0088150A" w:rsidP="002474C2">
            <w:pPr>
              <w:pStyle w:val="TableText"/>
              <w:tabs>
                <w:tab w:val="decimal" w:pos="369"/>
              </w:tabs>
              <w:rPr>
                <w:rFonts w:eastAsia="Arial Unicode MS" w:cs="Segoe UI"/>
                <w:lang w:eastAsia="en-NZ"/>
              </w:rPr>
            </w:pPr>
            <w:r w:rsidRPr="002474C2">
              <w:rPr>
                <w:rFonts w:cs="Segoe UI"/>
              </w:rPr>
              <w:t>2.350</w:t>
            </w:r>
          </w:p>
        </w:tc>
        <w:tc>
          <w:tcPr>
            <w:tcW w:w="1028" w:type="dxa"/>
            <w:shd w:val="clear" w:color="auto" w:fill="auto"/>
          </w:tcPr>
          <w:p w:rsidR="0088150A" w:rsidRPr="002474C2" w:rsidRDefault="0088150A" w:rsidP="002474C2">
            <w:pPr>
              <w:pStyle w:val="TableText"/>
              <w:tabs>
                <w:tab w:val="decimal" w:pos="369"/>
              </w:tabs>
              <w:rPr>
                <w:rFonts w:eastAsia="Arial Unicode MS" w:cs="Segoe UI"/>
                <w:lang w:eastAsia="en-NZ"/>
              </w:rPr>
            </w:pPr>
            <w:r w:rsidRPr="002474C2">
              <w:rPr>
                <w:rFonts w:cs="Segoe UI"/>
              </w:rPr>
              <w:t>6.629</w:t>
            </w:r>
          </w:p>
        </w:tc>
      </w:tr>
      <w:tr w:rsidR="0088150A" w:rsidRPr="00722D81" w:rsidTr="002474C2">
        <w:trPr>
          <w:cantSplit/>
        </w:trPr>
        <w:tc>
          <w:tcPr>
            <w:tcW w:w="3969" w:type="dxa"/>
            <w:shd w:val="clear" w:color="auto" w:fill="auto"/>
            <w:noWrap/>
          </w:tcPr>
          <w:p w:rsidR="0088150A" w:rsidRPr="000178AF" w:rsidRDefault="0088150A" w:rsidP="00B01F78">
            <w:pPr>
              <w:pStyle w:val="TableText"/>
            </w:pPr>
            <w:r w:rsidRPr="000178AF">
              <w:t xml:space="preserve">New service and </w:t>
            </w:r>
            <w:r>
              <w:t>technology</w:t>
            </w:r>
            <w:r w:rsidRPr="000178AF">
              <w:t xml:space="preserve"> pilots</w:t>
            </w:r>
          </w:p>
        </w:tc>
        <w:tc>
          <w:tcPr>
            <w:tcW w:w="1027" w:type="dxa"/>
            <w:shd w:val="clear" w:color="auto" w:fill="auto"/>
            <w:noWrap/>
          </w:tcPr>
          <w:p w:rsidR="0088150A" w:rsidRPr="002474C2" w:rsidRDefault="0088150A" w:rsidP="002474C2">
            <w:pPr>
              <w:pStyle w:val="TableText"/>
              <w:tabs>
                <w:tab w:val="decimal" w:pos="369"/>
              </w:tabs>
              <w:rPr>
                <w:rFonts w:eastAsia="Arial Unicode MS" w:cs="Segoe UI"/>
                <w:lang w:eastAsia="en-NZ"/>
              </w:rPr>
            </w:pPr>
            <w:r w:rsidRPr="002474C2">
              <w:rPr>
                <w:rFonts w:cs="Segoe UI"/>
              </w:rPr>
              <w:t>1.335</w:t>
            </w:r>
          </w:p>
        </w:tc>
        <w:tc>
          <w:tcPr>
            <w:tcW w:w="1028" w:type="dxa"/>
            <w:shd w:val="clear" w:color="auto" w:fill="auto"/>
            <w:noWrap/>
          </w:tcPr>
          <w:p w:rsidR="0088150A" w:rsidRPr="002474C2" w:rsidRDefault="0088150A" w:rsidP="002474C2">
            <w:pPr>
              <w:pStyle w:val="TableText"/>
              <w:tabs>
                <w:tab w:val="decimal" w:pos="369"/>
              </w:tabs>
              <w:rPr>
                <w:rFonts w:eastAsia="Arial Unicode MS" w:cs="Segoe UI"/>
                <w:lang w:eastAsia="en-NZ"/>
              </w:rPr>
            </w:pPr>
            <w:r w:rsidRPr="002474C2">
              <w:rPr>
                <w:rFonts w:cs="Segoe UI"/>
              </w:rPr>
              <w:t>1.695</w:t>
            </w:r>
          </w:p>
        </w:tc>
        <w:tc>
          <w:tcPr>
            <w:tcW w:w="1028" w:type="dxa"/>
            <w:shd w:val="clear" w:color="auto" w:fill="auto"/>
            <w:noWrap/>
          </w:tcPr>
          <w:p w:rsidR="0088150A" w:rsidRPr="002474C2" w:rsidRDefault="0088150A" w:rsidP="002474C2">
            <w:pPr>
              <w:pStyle w:val="TableText"/>
              <w:tabs>
                <w:tab w:val="decimal" w:pos="369"/>
              </w:tabs>
              <w:rPr>
                <w:rFonts w:eastAsia="Arial Unicode MS" w:cs="Segoe UI"/>
                <w:lang w:eastAsia="en-NZ"/>
              </w:rPr>
            </w:pPr>
            <w:r w:rsidRPr="002474C2">
              <w:rPr>
                <w:rFonts w:cs="Segoe UI"/>
              </w:rPr>
              <w:t>1.970</w:t>
            </w:r>
          </w:p>
        </w:tc>
        <w:tc>
          <w:tcPr>
            <w:tcW w:w="1028" w:type="dxa"/>
            <w:shd w:val="clear" w:color="auto" w:fill="auto"/>
          </w:tcPr>
          <w:p w:rsidR="0088150A" w:rsidRPr="002474C2" w:rsidRDefault="0088150A" w:rsidP="002474C2">
            <w:pPr>
              <w:pStyle w:val="TableText"/>
              <w:tabs>
                <w:tab w:val="decimal" w:pos="369"/>
              </w:tabs>
              <w:rPr>
                <w:rFonts w:eastAsia="Arial Unicode MS" w:cs="Segoe UI"/>
                <w:lang w:eastAsia="en-NZ"/>
              </w:rPr>
            </w:pPr>
            <w:r w:rsidRPr="002474C2">
              <w:rPr>
                <w:rFonts w:cs="Segoe UI"/>
              </w:rPr>
              <w:t>5.000</w:t>
            </w:r>
          </w:p>
        </w:tc>
      </w:tr>
      <w:tr w:rsidR="0088150A" w:rsidRPr="00903FAA" w:rsidTr="002474C2">
        <w:trPr>
          <w:cantSplit/>
        </w:trPr>
        <w:tc>
          <w:tcPr>
            <w:tcW w:w="3969" w:type="dxa"/>
            <w:shd w:val="clear" w:color="auto" w:fill="auto"/>
            <w:noWrap/>
          </w:tcPr>
          <w:p w:rsidR="0088150A" w:rsidRPr="0052418F" w:rsidRDefault="0088150A" w:rsidP="00B01F78">
            <w:pPr>
              <w:pStyle w:val="TableText"/>
            </w:pPr>
            <w:r w:rsidRPr="000178AF">
              <w:t>Ministry operating costs</w:t>
            </w:r>
          </w:p>
        </w:tc>
        <w:tc>
          <w:tcPr>
            <w:tcW w:w="1027" w:type="dxa"/>
            <w:shd w:val="clear" w:color="auto" w:fill="auto"/>
            <w:noWrap/>
          </w:tcPr>
          <w:p w:rsidR="0088150A" w:rsidRPr="002474C2" w:rsidRDefault="0088150A" w:rsidP="002474C2">
            <w:pPr>
              <w:pStyle w:val="TableText"/>
              <w:tabs>
                <w:tab w:val="decimal" w:pos="369"/>
              </w:tabs>
              <w:rPr>
                <w:rFonts w:cs="Segoe UI"/>
              </w:rPr>
            </w:pPr>
            <w:r w:rsidRPr="002474C2">
              <w:rPr>
                <w:rFonts w:cs="Segoe UI"/>
              </w:rPr>
              <w:t>0.957</w:t>
            </w:r>
          </w:p>
        </w:tc>
        <w:tc>
          <w:tcPr>
            <w:tcW w:w="1028" w:type="dxa"/>
            <w:shd w:val="clear" w:color="auto" w:fill="auto"/>
            <w:noWrap/>
          </w:tcPr>
          <w:p w:rsidR="0088150A" w:rsidRPr="002474C2" w:rsidRDefault="0088150A" w:rsidP="002474C2">
            <w:pPr>
              <w:pStyle w:val="TableText"/>
              <w:tabs>
                <w:tab w:val="decimal" w:pos="369"/>
              </w:tabs>
              <w:rPr>
                <w:rFonts w:cs="Segoe UI"/>
              </w:rPr>
            </w:pPr>
            <w:r w:rsidRPr="002474C2">
              <w:rPr>
                <w:rFonts w:cs="Segoe UI"/>
              </w:rPr>
              <w:t>0.99</w:t>
            </w:r>
            <w:r w:rsidR="00C60144">
              <w:rPr>
                <w:rFonts w:cs="Segoe UI"/>
              </w:rPr>
              <w:t>0</w:t>
            </w:r>
          </w:p>
        </w:tc>
        <w:tc>
          <w:tcPr>
            <w:tcW w:w="1028" w:type="dxa"/>
            <w:shd w:val="clear" w:color="auto" w:fill="auto"/>
            <w:noWrap/>
          </w:tcPr>
          <w:p w:rsidR="0088150A" w:rsidRPr="002474C2" w:rsidRDefault="0088150A" w:rsidP="002474C2">
            <w:pPr>
              <w:pStyle w:val="TableText"/>
              <w:tabs>
                <w:tab w:val="decimal" w:pos="369"/>
              </w:tabs>
              <w:rPr>
                <w:rFonts w:cs="Segoe UI"/>
              </w:rPr>
            </w:pPr>
            <w:r w:rsidRPr="002474C2">
              <w:rPr>
                <w:rFonts w:cs="Segoe UI"/>
              </w:rPr>
              <w:t>0.99</w:t>
            </w:r>
            <w:r w:rsidR="00C60144">
              <w:rPr>
                <w:rFonts w:cs="Segoe UI"/>
              </w:rPr>
              <w:t>0</w:t>
            </w:r>
          </w:p>
        </w:tc>
        <w:tc>
          <w:tcPr>
            <w:tcW w:w="1028" w:type="dxa"/>
            <w:shd w:val="clear" w:color="auto" w:fill="auto"/>
          </w:tcPr>
          <w:p w:rsidR="0088150A" w:rsidRPr="002474C2" w:rsidRDefault="0088150A" w:rsidP="002474C2">
            <w:pPr>
              <w:pStyle w:val="TableText"/>
              <w:tabs>
                <w:tab w:val="decimal" w:pos="369"/>
              </w:tabs>
              <w:rPr>
                <w:rFonts w:cs="Segoe UI"/>
              </w:rPr>
            </w:pPr>
            <w:r w:rsidRPr="002474C2">
              <w:rPr>
                <w:rFonts w:cs="Segoe UI"/>
              </w:rPr>
              <w:t>2.937</w:t>
            </w:r>
          </w:p>
        </w:tc>
      </w:tr>
      <w:tr w:rsidR="0088150A" w:rsidRPr="00B01F78" w:rsidTr="002474C2">
        <w:trPr>
          <w:cantSplit/>
        </w:trPr>
        <w:tc>
          <w:tcPr>
            <w:tcW w:w="3969" w:type="dxa"/>
            <w:shd w:val="clear" w:color="auto" w:fill="auto"/>
            <w:noWrap/>
          </w:tcPr>
          <w:p w:rsidR="0088150A" w:rsidRPr="00B01F78" w:rsidRDefault="0088150A" w:rsidP="00B01F78">
            <w:pPr>
              <w:pStyle w:val="TableText"/>
              <w:rPr>
                <w:b/>
              </w:rPr>
            </w:pPr>
            <w:r w:rsidRPr="00B01F78">
              <w:rPr>
                <w:b/>
              </w:rPr>
              <w:t>Total ($m)</w:t>
            </w:r>
          </w:p>
        </w:tc>
        <w:tc>
          <w:tcPr>
            <w:tcW w:w="1027" w:type="dxa"/>
            <w:shd w:val="clear" w:color="auto" w:fill="auto"/>
            <w:noWrap/>
          </w:tcPr>
          <w:p w:rsidR="0088150A" w:rsidRPr="002474C2" w:rsidRDefault="0088150A">
            <w:pPr>
              <w:pStyle w:val="TableText"/>
              <w:tabs>
                <w:tab w:val="decimal" w:pos="369"/>
              </w:tabs>
              <w:rPr>
                <w:rFonts w:eastAsia="Arial Unicode MS" w:cs="Segoe UI"/>
                <w:b/>
                <w:lang w:eastAsia="en-NZ"/>
              </w:rPr>
            </w:pPr>
            <w:r w:rsidRPr="002474C2">
              <w:rPr>
                <w:rFonts w:cs="Segoe UI"/>
                <w:b/>
                <w:bCs/>
              </w:rPr>
              <w:t>19.</w:t>
            </w:r>
            <w:r w:rsidR="00B97B57" w:rsidRPr="002474C2">
              <w:rPr>
                <w:rFonts w:cs="Segoe UI"/>
                <w:b/>
                <w:bCs/>
              </w:rPr>
              <w:t>6</w:t>
            </w:r>
            <w:r w:rsidR="00B97B57">
              <w:rPr>
                <w:rFonts w:cs="Segoe UI"/>
                <w:b/>
                <w:bCs/>
              </w:rPr>
              <w:t>3</w:t>
            </w:r>
            <w:r w:rsidR="00B97B57" w:rsidRPr="002474C2">
              <w:rPr>
                <w:rFonts w:cs="Segoe UI"/>
                <w:b/>
                <w:bCs/>
              </w:rPr>
              <w:t>5</w:t>
            </w:r>
          </w:p>
        </w:tc>
        <w:tc>
          <w:tcPr>
            <w:tcW w:w="1028" w:type="dxa"/>
            <w:shd w:val="clear" w:color="auto" w:fill="auto"/>
            <w:noWrap/>
          </w:tcPr>
          <w:p w:rsidR="0088150A" w:rsidRPr="002474C2" w:rsidRDefault="0088150A">
            <w:pPr>
              <w:pStyle w:val="TableText"/>
              <w:tabs>
                <w:tab w:val="decimal" w:pos="369"/>
              </w:tabs>
              <w:rPr>
                <w:rFonts w:eastAsia="Arial Unicode MS" w:cs="Segoe UI"/>
                <w:b/>
                <w:lang w:eastAsia="en-NZ"/>
              </w:rPr>
            </w:pPr>
            <w:r w:rsidRPr="002474C2">
              <w:rPr>
                <w:rFonts w:cs="Segoe UI"/>
                <w:b/>
                <w:bCs/>
              </w:rPr>
              <w:t>20.</w:t>
            </w:r>
            <w:r w:rsidR="00B97B57">
              <w:rPr>
                <w:rFonts w:cs="Segoe UI"/>
                <w:b/>
                <w:bCs/>
              </w:rPr>
              <w:t>10</w:t>
            </w:r>
            <w:r w:rsidR="00B97B57" w:rsidRPr="002474C2">
              <w:rPr>
                <w:rFonts w:cs="Segoe UI"/>
                <w:b/>
                <w:bCs/>
              </w:rPr>
              <w:t>9</w:t>
            </w:r>
          </w:p>
        </w:tc>
        <w:tc>
          <w:tcPr>
            <w:tcW w:w="1028" w:type="dxa"/>
            <w:shd w:val="clear" w:color="auto" w:fill="auto"/>
            <w:noWrap/>
          </w:tcPr>
          <w:p w:rsidR="0088150A" w:rsidRPr="002474C2" w:rsidRDefault="0088150A">
            <w:pPr>
              <w:pStyle w:val="TableText"/>
              <w:tabs>
                <w:tab w:val="decimal" w:pos="369"/>
              </w:tabs>
              <w:rPr>
                <w:rFonts w:eastAsia="Arial Unicode MS" w:cs="Segoe UI"/>
                <w:b/>
                <w:lang w:eastAsia="en-NZ"/>
              </w:rPr>
            </w:pPr>
            <w:r w:rsidRPr="002474C2">
              <w:rPr>
                <w:rFonts w:cs="Segoe UI"/>
                <w:b/>
                <w:bCs/>
              </w:rPr>
              <w:t>20.</w:t>
            </w:r>
            <w:r w:rsidR="00B97B57" w:rsidRPr="002474C2">
              <w:rPr>
                <w:rFonts w:cs="Segoe UI"/>
                <w:b/>
                <w:bCs/>
              </w:rPr>
              <w:t>5</w:t>
            </w:r>
            <w:r w:rsidR="00B97B57">
              <w:rPr>
                <w:rFonts w:cs="Segoe UI"/>
                <w:b/>
                <w:bCs/>
              </w:rPr>
              <w:t>9</w:t>
            </w:r>
            <w:r w:rsidR="00B97B57" w:rsidRPr="002474C2">
              <w:rPr>
                <w:rFonts w:cs="Segoe UI"/>
                <w:b/>
                <w:bCs/>
              </w:rPr>
              <w:t>5</w:t>
            </w:r>
          </w:p>
        </w:tc>
        <w:tc>
          <w:tcPr>
            <w:tcW w:w="1028" w:type="dxa"/>
            <w:shd w:val="clear" w:color="auto" w:fill="auto"/>
          </w:tcPr>
          <w:p w:rsidR="0088150A" w:rsidRPr="002474C2" w:rsidRDefault="0088150A" w:rsidP="002474C2">
            <w:pPr>
              <w:pStyle w:val="TableText"/>
              <w:tabs>
                <w:tab w:val="decimal" w:pos="369"/>
              </w:tabs>
              <w:rPr>
                <w:rFonts w:eastAsia="Arial Unicode MS" w:cs="Segoe UI"/>
                <w:b/>
                <w:lang w:eastAsia="en-NZ"/>
              </w:rPr>
            </w:pPr>
            <w:r w:rsidRPr="002474C2">
              <w:rPr>
                <w:rFonts w:cs="Segoe UI"/>
                <w:b/>
                <w:bCs/>
              </w:rPr>
              <w:t>60.339</w:t>
            </w:r>
          </w:p>
        </w:tc>
      </w:tr>
    </w:tbl>
    <w:p w:rsidR="0088150A" w:rsidRPr="00C10A99" w:rsidRDefault="0088150A" w:rsidP="002474C2">
      <w:pPr>
        <w:pStyle w:val="Heading2"/>
      </w:pPr>
      <w:bookmarkStart w:id="192" w:name="_Toc59414782"/>
      <w:bookmarkStart w:id="193" w:name="_Toc56522595"/>
      <w:bookmarkStart w:id="194" w:name="_Toc229279764"/>
      <w:bookmarkStart w:id="195" w:name="_Toc517090905"/>
      <w:bookmarkStart w:id="196" w:name="_Toc530487411"/>
      <w:bookmarkStart w:id="197" w:name="_Toc9239604"/>
      <w:r w:rsidRPr="00C10A99">
        <w:t>Public health</w:t>
      </w:r>
      <w:bookmarkEnd w:id="192"/>
      <w:bookmarkEnd w:id="193"/>
      <w:r w:rsidRPr="00C10A99">
        <w:t xml:space="preserve"> services</w:t>
      </w:r>
      <w:bookmarkEnd w:id="194"/>
      <w:bookmarkEnd w:id="195"/>
      <w:bookmarkEnd w:id="196"/>
      <w:bookmarkEnd w:id="197"/>
    </w:p>
    <w:p w:rsidR="0088150A" w:rsidRPr="00E312E8" w:rsidRDefault="0088150A" w:rsidP="002474C2">
      <w:pPr>
        <w:keepNext/>
      </w:pPr>
      <w:r w:rsidRPr="00E312E8">
        <w:t xml:space="preserve">Internationally, </w:t>
      </w:r>
      <w:r>
        <w:t>New Zealand</w:t>
      </w:r>
      <w:r w:rsidR="00A10EC0">
        <w:t>’</w:t>
      </w:r>
      <w:r>
        <w:t>s</w:t>
      </w:r>
      <w:r w:rsidRPr="00E312E8">
        <w:t xml:space="preserve"> public health approach to preventing and minimising gambling harm is seen as a strength of </w:t>
      </w:r>
      <w:r>
        <w:t>our</w:t>
      </w:r>
      <w:r w:rsidRPr="00E312E8">
        <w:t xml:space="preserve"> integrated strategy.</w:t>
      </w:r>
    </w:p>
    <w:p w:rsidR="0088150A" w:rsidRDefault="0088150A" w:rsidP="002474C2">
      <w:pPr>
        <w:keepNext/>
      </w:pPr>
    </w:p>
    <w:p w:rsidR="0088150A" w:rsidRDefault="0088150A" w:rsidP="002474C2">
      <w:pPr>
        <w:keepLines/>
      </w:pPr>
      <w:r>
        <w:t xml:space="preserve">The overall budget proposed for </w:t>
      </w:r>
      <w:r w:rsidRPr="00E312E8">
        <w:t>public health services for the 2019/20</w:t>
      </w:r>
      <w:r>
        <w:t>–</w:t>
      </w:r>
      <w:r w:rsidRPr="00E312E8">
        <w:t xml:space="preserve">2021/22 period is </w:t>
      </w:r>
      <w:r>
        <w:t xml:space="preserve">largely </w:t>
      </w:r>
      <w:r w:rsidRPr="00E312E8">
        <w:t xml:space="preserve">unchanged from the previous </w:t>
      </w:r>
      <w:r>
        <w:t xml:space="preserve">funding </w:t>
      </w:r>
      <w:r w:rsidRPr="00E312E8">
        <w:t>period (</w:t>
      </w:r>
      <w:r w:rsidRPr="00D528A0">
        <w:t>see Table 1</w:t>
      </w:r>
      <w:r>
        <w:t>6</w:t>
      </w:r>
      <w:r w:rsidRPr="00C10A99">
        <w:t>)</w:t>
      </w:r>
      <w:r>
        <w:t xml:space="preserve">. However, </w:t>
      </w:r>
      <w:r w:rsidRPr="00C10A99">
        <w:t>the Ministry intends to explore the potential for different ways of delivering public health services</w:t>
      </w:r>
      <w:r>
        <w:t xml:space="preserve"> (eg, using</w:t>
      </w:r>
      <w:r w:rsidRPr="00C10A99">
        <w:t xml:space="preserve"> a community mobilisation approach</w:t>
      </w:r>
      <w:r>
        <w:t xml:space="preserve">) </w:t>
      </w:r>
      <w:r w:rsidRPr="0052418F">
        <w:t xml:space="preserve">and </w:t>
      </w:r>
      <w:r>
        <w:t xml:space="preserve">funding </w:t>
      </w:r>
      <w:r w:rsidRPr="0052418F">
        <w:t xml:space="preserve">contracts </w:t>
      </w:r>
      <w:r>
        <w:t>(the budget currently assumes the use of full-time equivalent employees (FTEs)). Section </w:t>
      </w:r>
      <w:r w:rsidR="00FF6E89">
        <w:t>3</w:t>
      </w:r>
      <w:r>
        <w:t>.6 describes additional funding for new pilots.</w:t>
      </w:r>
    </w:p>
    <w:p w:rsidR="0088150A" w:rsidRDefault="0088150A" w:rsidP="002474C2"/>
    <w:p w:rsidR="0088150A" w:rsidRPr="00C10A99" w:rsidRDefault="0088150A" w:rsidP="002474C2">
      <w:r w:rsidRPr="00C10A99">
        <w:t>Indicative priority areas for 2019/20 to 2021/22 are</w:t>
      </w:r>
      <w:r>
        <w:t xml:space="preserve"> as follows:</w:t>
      </w:r>
    </w:p>
    <w:p w:rsidR="0088150A" w:rsidRPr="00EC3578" w:rsidRDefault="0088150A" w:rsidP="002474C2">
      <w:pPr>
        <w:pStyle w:val="Bullet"/>
      </w:pPr>
      <w:r>
        <w:t>r</w:t>
      </w:r>
      <w:r w:rsidRPr="00EC3578">
        <w:t>eview</w:t>
      </w:r>
      <w:r>
        <w:t>ing</w:t>
      </w:r>
      <w:r w:rsidRPr="00EC3578">
        <w:t xml:space="preserve"> and apply</w:t>
      </w:r>
      <w:r>
        <w:t>ing</w:t>
      </w:r>
      <w:r w:rsidRPr="00EC3578">
        <w:t xml:space="preserve"> knowledge from successful local models of public health service delivery, including methods such as community mobilisation, and the wealth of health services research available</w:t>
      </w:r>
      <w:r>
        <w:t>,</w:t>
      </w:r>
      <w:r w:rsidRPr="00EC3578">
        <w:t xml:space="preserve"> to provide smarter services that deliver improved health outcomes</w:t>
      </w:r>
    </w:p>
    <w:p w:rsidR="0088150A" w:rsidRPr="00EC3578" w:rsidRDefault="0088150A" w:rsidP="002474C2">
      <w:pPr>
        <w:pStyle w:val="Bullet"/>
      </w:pPr>
      <w:r>
        <w:t>i</w:t>
      </w:r>
      <w:r w:rsidRPr="00EC3578">
        <w:t>ncreas</w:t>
      </w:r>
      <w:r>
        <w:t>ing</w:t>
      </w:r>
      <w:r w:rsidRPr="00EC3578">
        <w:t xml:space="preserve"> screening as a key tool </w:t>
      </w:r>
      <w:r>
        <w:t xml:space="preserve">to </w:t>
      </w:r>
      <w:r w:rsidRPr="00EC3578">
        <w:t>promot</w:t>
      </w:r>
      <w:r>
        <w:t xml:space="preserve">e </w:t>
      </w:r>
      <w:r w:rsidRPr="00EC3578">
        <w:t>awareness of the harm caused by gambling</w:t>
      </w:r>
      <w:r>
        <w:t xml:space="preserve"> and to identify </w:t>
      </w:r>
      <w:r w:rsidRPr="00EC3578">
        <w:t>earl</w:t>
      </w:r>
      <w:r>
        <w:t xml:space="preserve">ier </w:t>
      </w:r>
      <w:r w:rsidRPr="00EC3578">
        <w:t>harmful addictive behaviour patterns and appropriate forms of treatment</w:t>
      </w:r>
    </w:p>
    <w:p w:rsidR="0088150A" w:rsidRPr="00EC3578" w:rsidRDefault="0088150A" w:rsidP="002474C2">
      <w:pPr>
        <w:pStyle w:val="Bullet"/>
      </w:pPr>
      <w:r>
        <w:t>f</w:t>
      </w:r>
      <w:r w:rsidRPr="00EC3578">
        <w:t>uture proofing our approaches</w:t>
      </w:r>
      <w:r>
        <w:t>;</w:t>
      </w:r>
      <w:r w:rsidRPr="00EC3578">
        <w:t xml:space="preserve"> for example, assessing whether new screening tools are more appropriate for New Zealand</w:t>
      </w:r>
      <w:r w:rsidR="00A10EC0">
        <w:t>’</w:t>
      </w:r>
      <w:r w:rsidRPr="00EC3578">
        <w:t>s public health needs.</w:t>
      </w:r>
      <w:r>
        <w:t xml:space="preserve"> T</w:t>
      </w:r>
      <w:r w:rsidRPr="00EC3578">
        <w:t xml:space="preserve">his </w:t>
      </w:r>
      <w:r>
        <w:t>may</w:t>
      </w:r>
      <w:r w:rsidRPr="00EC3578">
        <w:t xml:space="preserve"> include the short gambling harms scale, which has been suggested as a better way of measuring the harm caused by gambling</w:t>
      </w:r>
      <w:r>
        <w:t xml:space="preserve"> than the PGSI (which would be maintained for monitoring purposes)</w:t>
      </w:r>
    </w:p>
    <w:p w:rsidR="0088150A" w:rsidRPr="00D528A0" w:rsidRDefault="0088150A" w:rsidP="002474C2">
      <w:pPr>
        <w:pStyle w:val="Bullet"/>
      </w:pPr>
      <w:r>
        <w:t>i</w:t>
      </w:r>
      <w:r w:rsidRPr="00EC3578">
        <w:t>mprov</w:t>
      </w:r>
      <w:r>
        <w:t>ing</w:t>
      </w:r>
      <w:r w:rsidRPr="00EC3578">
        <w:t xml:space="preserve"> the infrastructure that connects the gambling sector</w:t>
      </w:r>
      <w:r>
        <w:t>,</w:t>
      </w:r>
      <w:r w:rsidRPr="00EC3578">
        <w:t xml:space="preserve"> to increase cohesion and collaboration; share best practices; boost coordination; increase transparency; support the whole gambling sector workforce, including venue staff; and share learning and data across the wider health sector – such as</w:t>
      </w:r>
      <w:r w:rsidR="00E8472F">
        <w:t xml:space="preserve"> with</w:t>
      </w:r>
      <w:r w:rsidRPr="00EC3578">
        <w:t xml:space="preserve"> mental health and other addictions</w:t>
      </w:r>
    </w:p>
    <w:p w:rsidR="0088150A" w:rsidRDefault="0088150A" w:rsidP="002474C2">
      <w:pPr>
        <w:pStyle w:val="Bullet"/>
      </w:pPr>
      <w:r>
        <w:t xml:space="preserve">extending public health services to accommodate impacts on young people. This addresses the strong feedback within submissions that online gambling and gaming </w:t>
      </w:r>
      <w:r>
        <w:lastRenderedPageBreak/>
        <w:t>convergence, in particular, is having a harmful impact on young people. The Ministry will explore this impact with the Ministry of Youth Development and Oranga Tamariki, and related strategies such the Child and Youth Wellbeing Strategy will inform service delivery.</w:t>
      </w:r>
    </w:p>
    <w:p w:rsidR="00D41482" w:rsidRDefault="00D41482" w:rsidP="00D41482">
      <w:pPr>
        <w:pStyle w:val="Bullet"/>
        <w:numPr>
          <w:ilvl w:val="0"/>
          <w:numId w:val="0"/>
        </w:numPr>
        <w:ind w:left="284"/>
      </w:pPr>
    </w:p>
    <w:p w:rsidR="0088150A" w:rsidRPr="00FF734C" w:rsidRDefault="0088150A" w:rsidP="00AC044E">
      <w:pPr>
        <w:pStyle w:val="Table"/>
      </w:pPr>
      <w:bookmarkStart w:id="198" w:name="_Toc517091240"/>
      <w:bookmarkStart w:id="199" w:name="_Toc530487438"/>
      <w:bookmarkStart w:id="200" w:name="_Toc4156634"/>
      <w:bookmarkStart w:id="201" w:name="_Toc8398934"/>
      <w:r w:rsidRPr="00FF734C">
        <w:t xml:space="preserve">Table </w:t>
      </w:r>
      <w:r w:rsidR="00762F08">
        <w:rPr>
          <w:noProof/>
        </w:rPr>
        <w:fldChar w:fldCharType="begin"/>
      </w:r>
      <w:r w:rsidR="00762F08">
        <w:rPr>
          <w:noProof/>
        </w:rPr>
        <w:instrText xml:space="preserve"> SEQ Table \* ARABIC </w:instrText>
      </w:r>
      <w:r w:rsidR="00762F08">
        <w:rPr>
          <w:noProof/>
        </w:rPr>
        <w:fldChar w:fldCharType="separate"/>
      </w:r>
      <w:r w:rsidR="0002049A">
        <w:rPr>
          <w:noProof/>
        </w:rPr>
        <w:t>16</w:t>
      </w:r>
      <w:r w:rsidR="00762F08">
        <w:rPr>
          <w:noProof/>
        </w:rPr>
        <w:fldChar w:fldCharType="end"/>
      </w:r>
      <w:r w:rsidRPr="00FF734C">
        <w:t xml:space="preserve">: </w:t>
      </w:r>
      <w:r w:rsidR="00222302">
        <w:t>P</w:t>
      </w:r>
      <w:r w:rsidRPr="00FF734C">
        <w:t>ublic health budget (GST</w:t>
      </w:r>
      <w:r w:rsidR="00133362">
        <w:t xml:space="preserve"> </w:t>
      </w:r>
      <w:r w:rsidRPr="00FF734C">
        <w:t>exclusive), by service area,</w:t>
      </w:r>
      <w:r w:rsidR="00151F15">
        <w:t xml:space="preserve"> </w:t>
      </w:r>
      <w:r w:rsidRPr="00FF734C">
        <w:t>2019/20</w:t>
      </w:r>
      <w:r>
        <w:t>–</w:t>
      </w:r>
      <w:r w:rsidRPr="00FF734C">
        <w:t>2021/22</w:t>
      </w:r>
      <w:bookmarkEnd w:id="198"/>
      <w:bookmarkEnd w:id="199"/>
      <w:bookmarkEnd w:id="200"/>
      <w:bookmarkEnd w:id="201"/>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3544"/>
        <w:gridCol w:w="1134"/>
        <w:gridCol w:w="1134"/>
        <w:gridCol w:w="1134"/>
        <w:gridCol w:w="1134"/>
      </w:tblGrid>
      <w:tr w:rsidR="0088150A" w:rsidRPr="002474C2" w:rsidTr="007A2C74">
        <w:trPr>
          <w:cantSplit/>
        </w:trPr>
        <w:tc>
          <w:tcPr>
            <w:tcW w:w="3544" w:type="dxa"/>
            <w:tcBorders>
              <w:top w:val="nil"/>
              <w:bottom w:val="nil"/>
            </w:tcBorders>
            <w:shd w:val="clear" w:color="auto" w:fill="D9D9D9" w:themeFill="background1" w:themeFillShade="D9"/>
            <w:noWrap/>
          </w:tcPr>
          <w:bookmarkEnd w:id="181"/>
          <w:bookmarkEnd w:id="182"/>
          <w:bookmarkEnd w:id="183"/>
          <w:bookmarkEnd w:id="184"/>
          <w:p w:rsidR="0088150A" w:rsidRPr="002474C2" w:rsidRDefault="0088150A" w:rsidP="002474C2">
            <w:pPr>
              <w:pStyle w:val="TableText"/>
              <w:keepNext/>
              <w:spacing w:before="50" w:after="50"/>
              <w:rPr>
                <w:b/>
                <w:lang w:eastAsia="en-US"/>
              </w:rPr>
            </w:pPr>
            <w:r w:rsidRPr="002474C2">
              <w:rPr>
                <w:b/>
                <w:lang w:eastAsia="en-US"/>
              </w:rPr>
              <w:t>Service area</w:t>
            </w:r>
          </w:p>
        </w:tc>
        <w:tc>
          <w:tcPr>
            <w:tcW w:w="1134" w:type="dxa"/>
            <w:tcBorders>
              <w:top w:val="nil"/>
              <w:bottom w:val="nil"/>
            </w:tcBorders>
            <w:shd w:val="clear" w:color="auto" w:fill="D9D9D9" w:themeFill="background1" w:themeFillShade="D9"/>
            <w:noWrap/>
          </w:tcPr>
          <w:p w:rsidR="0088150A" w:rsidRPr="002474C2" w:rsidRDefault="0088150A" w:rsidP="002474C2">
            <w:pPr>
              <w:pStyle w:val="TableText"/>
              <w:keepNext/>
              <w:spacing w:before="50" w:after="50"/>
              <w:jc w:val="center"/>
              <w:rPr>
                <w:b/>
                <w:lang w:eastAsia="en-US"/>
              </w:rPr>
            </w:pPr>
            <w:r w:rsidRPr="002474C2">
              <w:rPr>
                <w:b/>
                <w:lang w:eastAsia="en-US"/>
              </w:rPr>
              <w:t>2019/20</w:t>
            </w:r>
            <w:r w:rsidRPr="002474C2">
              <w:rPr>
                <w:b/>
                <w:lang w:eastAsia="en-US"/>
              </w:rPr>
              <w:br/>
            </w:r>
            <w:r w:rsidR="002474C2">
              <w:rPr>
                <w:b/>
                <w:lang w:eastAsia="en-US"/>
              </w:rPr>
              <w:t>(</w:t>
            </w:r>
            <w:r w:rsidRPr="002474C2">
              <w:rPr>
                <w:b/>
                <w:lang w:eastAsia="en-US"/>
              </w:rPr>
              <w:t>$m)</w:t>
            </w:r>
          </w:p>
        </w:tc>
        <w:tc>
          <w:tcPr>
            <w:tcW w:w="1134" w:type="dxa"/>
            <w:tcBorders>
              <w:top w:val="nil"/>
              <w:bottom w:val="nil"/>
            </w:tcBorders>
            <w:shd w:val="clear" w:color="auto" w:fill="D9D9D9" w:themeFill="background1" w:themeFillShade="D9"/>
            <w:noWrap/>
          </w:tcPr>
          <w:p w:rsidR="0088150A" w:rsidRPr="002474C2" w:rsidRDefault="0088150A" w:rsidP="002474C2">
            <w:pPr>
              <w:pStyle w:val="TableText"/>
              <w:keepNext/>
              <w:spacing w:before="50" w:after="50"/>
              <w:jc w:val="center"/>
              <w:rPr>
                <w:b/>
                <w:lang w:eastAsia="en-US"/>
              </w:rPr>
            </w:pPr>
            <w:r w:rsidRPr="002474C2">
              <w:rPr>
                <w:b/>
                <w:lang w:eastAsia="en-US"/>
              </w:rPr>
              <w:t>2020/21</w:t>
            </w:r>
            <w:r w:rsidRPr="002474C2">
              <w:rPr>
                <w:b/>
                <w:lang w:eastAsia="en-US"/>
              </w:rPr>
              <w:br/>
              <w:t>($m)</w:t>
            </w:r>
          </w:p>
        </w:tc>
        <w:tc>
          <w:tcPr>
            <w:tcW w:w="1134" w:type="dxa"/>
            <w:tcBorders>
              <w:top w:val="nil"/>
              <w:bottom w:val="nil"/>
            </w:tcBorders>
            <w:shd w:val="clear" w:color="auto" w:fill="D9D9D9" w:themeFill="background1" w:themeFillShade="D9"/>
            <w:noWrap/>
          </w:tcPr>
          <w:p w:rsidR="0088150A" w:rsidRPr="002474C2" w:rsidRDefault="0088150A" w:rsidP="002474C2">
            <w:pPr>
              <w:pStyle w:val="TableText"/>
              <w:keepNext/>
              <w:spacing w:before="50" w:after="50"/>
              <w:jc w:val="center"/>
              <w:rPr>
                <w:b/>
                <w:lang w:eastAsia="en-US"/>
              </w:rPr>
            </w:pPr>
            <w:r w:rsidRPr="002474C2">
              <w:rPr>
                <w:b/>
                <w:lang w:eastAsia="en-US"/>
              </w:rPr>
              <w:t>2021/22</w:t>
            </w:r>
            <w:r w:rsidRPr="002474C2">
              <w:rPr>
                <w:b/>
                <w:lang w:eastAsia="en-US"/>
              </w:rPr>
              <w:br/>
              <w:t>($m)</w:t>
            </w:r>
          </w:p>
        </w:tc>
        <w:tc>
          <w:tcPr>
            <w:tcW w:w="1134" w:type="dxa"/>
            <w:tcBorders>
              <w:top w:val="nil"/>
              <w:bottom w:val="nil"/>
            </w:tcBorders>
            <w:shd w:val="clear" w:color="auto" w:fill="D9D9D9" w:themeFill="background1" w:themeFillShade="D9"/>
          </w:tcPr>
          <w:p w:rsidR="0088150A" w:rsidRPr="002474C2" w:rsidRDefault="0088150A" w:rsidP="002474C2">
            <w:pPr>
              <w:pStyle w:val="TableText"/>
              <w:keepNext/>
              <w:spacing w:before="50" w:after="50"/>
              <w:jc w:val="center"/>
              <w:rPr>
                <w:b/>
                <w:lang w:eastAsia="en-US"/>
              </w:rPr>
            </w:pPr>
            <w:r w:rsidRPr="002474C2">
              <w:rPr>
                <w:b/>
                <w:lang w:eastAsia="en-US"/>
              </w:rPr>
              <w:t>Total</w:t>
            </w:r>
            <w:r w:rsidRPr="002474C2">
              <w:rPr>
                <w:b/>
                <w:lang w:eastAsia="en-US"/>
              </w:rPr>
              <w:br/>
              <w:t>($m)</w:t>
            </w:r>
          </w:p>
        </w:tc>
      </w:tr>
      <w:tr w:rsidR="0088150A" w:rsidRPr="00C93BE4" w:rsidTr="0062363F">
        <w:trPr>
          <w:cantSplit/>
        </w:trPr>
        <w:tc>
          <w:tcPr>
            <w:tcW w:w="3544" w:type="dxa"/>
            <w:tcBorders>
              <w:top w:val="nil"/>
            </w:tcBorders>
            <w:shd w:val="clear" w:color="auto" w:fill="auto"/>
            <w:noWrap/>
          </w:tcPr>
          <w:p w:rsidR="0088150A" w:rsidRPr="001C426D" w:rsidRDefault="0088150A" w:rsidP="002474C2">
            <w:pPr>
              <w:pStyle w:val="TableText"/>
              <w:keepNext/>
              <w:spacing w:before="50" w:after="50"/>
              <w:rPr>
                <w:lang w:eastAsia="en-US"/>
              </w:rPr>
            </w:pPr>
            <w:r w:rsidRPr="001C426D">
              <w:t>Primary prevention</w:t>
            </w:r>
            <w:r>
              <w:t xml:space="preserve"> </w:t>
            </w:r>
            <w:r w:rsidRPr="001C426D">
              <w:t>(public health action)</w:t>
            </w:r>
          </w:p>
        </w:tc>
        <w:tc>
          <w:tcPr>
            <w:tcW w:w="1134" w:type="dxa"/>
            <w:tcBorders>
              <w:top w:val="nil"/>
            </w:tcBorders>
            <w:shd w:val="clear" w:color="auto" w:fill="auto"/>
            <w:noWrap/>
            <w:vAlign w:val="center"/>
          </w:tcPr>
          <w:p w:rsidR="0088150A" w:rsidRPr="002474C2" w:rsidRDefault="0088150A" w:rsidP="002474C2">
            <w:pPr>
              <w:pStyle w:val="TableText"/>
              <w:keepNext/>
              <w:spacing w:before="50" w:after="50"/>
              <w:jc w:val="center"/>
              <w:rPr>
                <w:rFonts w:cs="Segoe UI"/>
                <w:color w:val="000000"/>
              </w:rPr>
            </w:pPr>
            <w:r w:rsidRPr="002474C2">
              <w:rPr>
                <w:rFonts w:cs="Segoe UI"/>
                <w:color w:val="000000"/>
              </w:rPr>
              <w:t>4.700</w:t>
            </w:r>
          </w:p>
        </w:tc>
        <w:tc>
          <w:tcPr>
            <w:tcW w:w="1134" w:type="dxa"/>
            <w:tcBorders>
              <w:top w:val="nil"/>
            </w:tcBorders>
            <w:shd w:val="clear" w:color="auto" w:fill="auto"/>
            <w:noWrap/>
            <w:vAlign w:val="center"/>
          </w:tcPr>
          <w:p w:rsidR="0088150A" w:rsidRPr="002474C2" w:rsidRDefault="0088150A" w:rsidP="002474C2">
            <w:pPr>
              <w:pStyle w:val="TableText"/>
              <w:keepNext/>
              <w:spacing w:before="50" w:after="50"/>
              <w:jc w:val="center"/>
              <w:rPr>
                <w:rFonts w:cs="Segoe UI"/>
                <w:color w:val="000000"/>
              </w:rPr>
            </w:pPr>
            <w:r w:rsidRPr="002474C2">
              <w:rPr>
                <w:rFonts w:cs="Segoe UI"/>
                <w:color w:val="000000"/>
              </w:rPr>
              <w:t>4.700</w:t>
            </w:r>
          </w:p>
        </w:tc>
        <w:tc>
          <w:tcPr>
            <w:tcW w:w="1134" w:type="dxa"/>
            <w:tcBorders>
              <w:top w:val="nil"/>
            </w:tcBorders>
            <w:shd w:val="clear" w:color="auto" w:fill="auto"/>
            <w:noWrap/>
            <w:vAlign w:val="center"/>
          </w:tcPr>
          <w:p w:rsidR="0088150A" w:rsidRPr="002474C2" w:rsidRDefault="0088150A" w:rsidP="002474C2">
            <w:pPr>
              <w:pStyle w:val="TableText"/>
              <w:keepNext/>
              <w:spacing w:before="50" w:after="50"/>
              <w:jc w:val="center"/>
              <w:rPr>
                <w:rFonts w:cs="Segoe UI"/>
                <w:color w:val="000000"/>
              </w:rPr>
            </w:pPr>
            <w:r w:rsidRPr="002474C2">
              <w:rPr>
                <w:rFonts w:cs="Segoe UI"/>
                <w:color w:val="000000"/>
              </w:rPr>
              <w:t>4.700</w:t>
            </w:r>
          </w:p>
        </w:tc>
        <w:tc>
          <w:tcPr>
            <w:tcW w:w="1134" w:type="dxa"/>
            <w:tcBorders>
              <w:top w:val="nil"/>
            </w:tcBorders>
            <w:shd w:val="clear" w:color="auto" w:fill="auto"/>
            <w:vAlign w:val="center"/>
          </w:tcPr>
          <w:p w:rsidR="0088150A" w:rsidRPr="002474C2" w:rsidRDefault="0088150A" w:rsidP="002474C2">
            <w:pPr>
              <w:pStyle w:val="TableText"/>
              <w:keepNext/>
              <w:tabs>
                <w:tab w:val="decimal" w:pos="454"/>
              </w:tabs>
              <w:spacing w:before="50" w:after="50"/>
              <w:rPr>
                <w:rFonts w:eastAsia="Arial Unicode MS" w:cs="Segoe UI"/>
              </w:rPr>
            </w:pPr>
            <w:r w:rsidRPr="002474C2">
              <w:rPr>
                <w:rFonts w:cs="Segoe UI"/>
                <w:color w:val="000000"/>
              </w:rPr>
              <w:t>14.100</w:t>
            </w:r>
          </w:p>
        </w:tc>
      </w:tr>
      <w:tr w:rsidR="0088150A" w:rsidRPr="00C93BE4" w:rsidTr="002474C2">
        <w:trPr>
          <w:cantSplit/>
        </w:trPr>
        <w:tc>
          <w:tcPr>
            <w:tcW w:w="3544" w:type="dxa"/>
            <w:shd w:val="clear" w:color="auto" w:fill="auto"/>
            <w:noWrap/>
          </w:tcPr>
          <w:p w:rsidR="0088150A" w:rsidRPr="001C426D" w:rsidRDefault="0088150A" w:rsidP="002474C2">
            <w:pPr>
              <w:pStyle w:val="TableText"/>
              <w:keepNext/>
              <w:spacing w:before="50" w:after="50"/>
              <w:rPr>
                <w:lang w:eastAsia="en-US"/>
              </w:rPr>
            </w:pPr>
            <w:r w:rsidRPr="001C426D">
              <w:t>Workforce development</w:t>
            </w:r>
            <w:r>
              <w:t xml:space="preserve"> (public health)</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0.180</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0.180</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0.180</w:t>
            </w:r>
          </w:p>
        </w:tc>
        <w:tc>
          <w:tcPr>
            <w:tcW w:w="1134" w:type="dxa"/>
            <w:shd w:val="clear" w:color="auto" w:fill="auto"/>
            <w:vAlign w:val="center"/>
          </w:tcPr>
          <w:p w:rsidR="0088150A" w:rsidRPr="002474C2" w:rsidRDefault="0088150A" w:rsidP="002474C2">
            <w:pPr>
              <w:pStyle w:val="TableText"/>
              <w:keepNext/>
              <w:tabs>
                <w:tab w:val="decimal" w:pos="454"/>
              </w:tabs>
              <w:spacing w:before="50" w:after="50"/>
              <w:rPr>
                <w:rFonts w:eastAsia="Arial Unicode MS" w:cs="Segoe UI"/>
              </w:rPr>
            </w:pPr>
            <w:r w:rsidRPr="002474C2">
              <w:rPr>
                <w:rFonts w:cs="Segoe UI"/>
                <w:color w:val="000000"/>
              </w:rPr>
              <w:t>0.540</w:t>
            </w:r>
          </w:p>
        </w:tc>
      </w:tr>
      <w:tr w:rsidR="0088150A" w:rsidRPr="00C93BE4" w:rsidTr="002474C2">
        <w:trPr>
          <w:cantSplit/>
        </w:trPr>
        <w:tc>
          <w:tcPr>
            <w:tcW w:w="3544" w:type="dxa"/>
            <w:shd w:val="clear" w:color="auto" w:fill="auto"/>
            <w:noWrap/>
          </w:tcPr>
          <w:p w:rsidR="0088150A" w:rsidRPr="001C426D" w:rsidRDefault="0088150A" w:rsidP="002474C2">
            <w:pPr>
              <w:pStyle w:val="TableText"/>
              <w:keepNext/>
              <w:spacing w:before="50" w:after="50"/>
              <w:rPr>
                <w:lang w:eastAsia="en-US"/>
              </w:rPr>
            </w:pPr>
            <w:r w:rsidRPr="001C426D">
              <w:t>Awareness and education programme</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1.680</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1.680</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1.680</w:t>
            </w:r>
          </w:p>
        </w:tc>
        <w:tc>
          <w:tcPr>
            <w:tcW w:w="1134" w:type="dxa"/>
            <w:shd w:val="clear" w:color="auto" w:fill="auto"/>
            <w:vAlign w:val="center"/>
          </w:tcPr>
          <w:p w:rsidR="0088150A" w:rsidRPr="002474C2" w:rsidRDefault="0088150A" w:rsidP="002474C2">
            <w:pPr>
              <w:pStyle w:val="TableText"/>
              <w:keepNext/>
              <w:tabs>
                <w:tab w:val="decimal" w:pos="454"/>
              </w:tabs>
              <w:spacing w:before="50" w:after="50"/>
              <w:rPr>
                <w:rFonts w:eastAsia="Arial Unicode MS" w:cs="Segoe UI"/>
              </w:rPr>
            </w:pPr>
            <w:r w:rsidRPr="002474C2">
              <w:rPr>
                <w:rFonts w:cs="Segoe UI"/>
                <w:color w:val="000000"/>
              </w:rPr>
              <w:t>5.040</w:t>
            </w:r>
          </w:p>
        </w:tc>
      </w:tr>
      <w:tr w:rsidR="0088150A" w:rsidRPr="00C93BE4" w:rsidTr="00525EFA">
        <w:trPr>
          <w:cantSplit/>
        </w:trPr>
        <w:tc>
          <w:tcPr>
            <w:tcW w:w="3544" w:type="dxa"/>
            <w:tcBorders>
              <w:bottom w:val="single" w:sz="4" w:space="0" w:color="A6A6A6" w:themeColor="background1" w:themeShade="A6"/>
            </w:tcBorders>
            <w:shd w:val="clear" w:color="auto" w:fill="auto"/>
            <w:noWrap/>
          </w:tcPr>
          <w:p w:rsidR="0088150A" w:rsidRPr="001C426D" w:rsidRDefault="0088150A" w:rsidP="002474C2">
            <w:pPr>
              <w:pStyle w:val="TableText"/>
              <w:keepNext/>
              <w:spacing w:before="50" w:after="50"/>
              <w:rPr>
                <w:lang w:eastAsia="en-US"/>
              </w:rPr>
            </w:pPr>
            <w:r w:rsidRPr="001C426D">
              <w:t>National coordination service</w:t>
            </w:r>
          </w:p>
        </w:tc>
        <w:tc>
          <w:tcPr>
            <w:tcW w:w="1134" w:type="dxa"/>
            <w:tcBorders>
              <w:bottom w:val="single" w:sz="4" w:space="0" w:color="A6A6A6" w:themeColor="background1" w:themeShade="A6"/>
            </w:tcBorders>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0.130</w:t>
            </w:r>
          </w:p>
        </w:tc>
        <w:tc>
          <w:tcPr>
            <w:tcW w:w="1134" w:type="dxa"/>
            <w:tcBorders>
              <w:bottom w:val="single" w:sz="4" w:space="0" w:color="A6A6A6" w:themeColor="background1" w:themeShade="A6"/>
            </w:tcBorders>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0.130</w:t>
            </w:r>
          </w:p>
        </w:tc>
        <w:tc>
          <w:tcPr>
            <w:tcW w:w="1134" w:type="dxa"/>
            <w:tcBorders>
              <w:bottom w:val="single" w:sz="4" w:space="0" w:color="A6A6A6" w:themeColor="background1" w:themeShade="A6"/>
            </w:tcBorders>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0.130</w:t>
            </w:r>
          </w:p>
        </w:tc>
        <w:tc>
          <w:tcPr>
            <w:tcW w:w="1134" w:type="dxa"/>
            <w:tcBorders>
              <w:bottom w:val="single" w:sz="4" w:space="0" w:color="A6A6A6" w:themeColor="background1" w:themeShade="A6"/>
            </w:tcBorders>
            <w:shd w:val="clear" w:color="auto" w:fill="auto"/>
            <w:vAlign w:val="center"/>
          </w:tcPr>
          <w:p w:rsidR="0088150A" w:rsidRPr="002474C2" w:rsidRDefault="0088150A" w:rsidP="002474C2">
            <w:pPr>
              <w:pStyle w:val="TableText"/>
              <w:keepNext/>
              <w:tabs>
                <w:tab w:val="decimal" w:pos="454"/>
              </w:tabs>
              <w:spacing w:before="50" w:after="50"/>
              <w:rPr>
                <w:rFonts w:eastAsia="Arial Unicode MS" w:cs="Segoe UI"/>
              </w:rPr>
            </w:pPr>
            <w:r w:rsidRPr="002474C2">
              <w:rPr>
                <w:rFonts w:cs="Segoe UI"/>
                <w:color w:val="000000"/>
              </w:rPr>
              <w:t>0.390</w:t>
            </w:r>
          </w:p>
        </w:tc>
      </w:tr>
      <w:tr w:rsidR="0088150A" w:rsidRPr="00C93BE4" w:rsidTr="00525EFA">
        <w:trPr>
          <w:cantSplit/>
        </w:trPr>
        <w:tc>
          <w:tcPr>
            <w:tcW w:w="3544" w:type="dxa"/>
            <w:tcBorders>
              <w:bottom w:val="single" w:sz="4" w:space="0" w:color="A6A6A6" w:themeColor="background1" w:themeShade="A6"/>
            </w:tcBorders>
            <w:shd w:val="clear" w:color="auto" w:fill="auto"/>
            <w:noWrap/>
          </w:tcPr>
          <w:p w:rsidR="0088150A" w:rsidRPr="001C426D" w:rsidRDefault="0088150A" w:rsidP="002474C2">
            <w:pPr>
              <w:pStyle w:val="TableText"/>
              <w:keepNext/>
              <w:spacing w:before="50" w:after="50"/>
            </w:pPr>
            <w:r w:rsidRPr="001C426D">
              <w:t xml:space="preserve">Consumer </w:t>
            </w:r>
            <w:r>
              <w:t>n</w:t>
            </w:r>
            <w:r w:rsidRPr="001C426D">
              <w:t>etwork</w:t>
            </w:r>
            <w:r>
              <w:t>s</w:t>
            </w:r>
          </w:p>
        </w:tc>
        <w:tc>
          <w:tcPr>
            <w:tcW w:w="1134" w:type="dxa"/>
            <w:tcBorders>
              <w:bottom w:val="single" w:sz="4" w:space="0" w:color="A6A6A6" w:themeColor="background1" w:themeShade="A6"/>
            </w:tcBorders>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0.100</w:t>
            </w:r>
          </w:p>
        </w:tc>
        <w:tc>
          <w:tcPr>
            <w:tcW w:w="1134" w:type="dxa"/>
            <w:tcBorders>
              <w:bottom w:val="single" w:sz="4" w:space="0" w:color="A6A6A6" w:themeColor="background1" w:themeShade="A6"/>
            </w:tcBorders>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0.100</w:t>
            </w:r>
          </w:p>
        </w:tc>
        <w:tc>
          <w:tcPr>
            <w:tcW w:w="1134" w:type="dxa"/>
            <w:tcBorders>
              <w:bottom w:val="single" w:sz="4" w:space="0" w:color="A6A6A6" w:themeColor="background1" w:themeShade="A6"/>
            </w:tcBorders>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0.100</w:t>
            </w:r>
          </w:p>
        </w:tc>
        <w:tc>
          <w:tcPr>
            <w:tcW w:w="1134" w:type="dxa"/>
            <w:tcBorders>
              <w:bottom w:val="single" w:sz="4" w:space="0" w:color="A6A6A6" w:themeColor="background1" w:themeShade="A6"/>
            </w:tcBorders>
            <w:shd w:val="clear" w:color="auto" w:fill="auto"/>
            <w:vAlign w:val="center"/>
          </w:tcPr>
          <w:p w:rsidR="0088150A" w:rsidRPr="002474C2" w:rsidRDefault="0088150A" w:rsidP="002474C2">
            <w:pPr>
              <w:pStyle w:val="TableText"/>
              <w:keepNext/>
              <w:tabs>
                <w:tab w:val="decimal" w:pos="454"/>
              </w:tabs>
              <w:spacing w:before="50" w:after="50"/>
              <w:rPr>
                <w:rFonts w:eastAsia="Arial Unicode MS" w:cs="Segoe UI"/>
              </w:rPr>
            </w:pPr>
            <w:r w:rsidRPr="002474C2">
              <w:rPr>
                <w:rFonts w:cs="Segoe UI"/>
                <w:color w:val="000000"/>
              </w:rPr>
              <w:t>0.300</w:t>
            </w:r>
          </w:p>
        </w:tc>
      </w:tr>
      <w:tr w:rsidR="0088150A" w:rsidRPr="00B45687" w:rsidTr="00525EFA">
        <w:trPr>
          <w:cantSplit/>
        </w:trPr>
        <w:tc>
          <w:tcPr>
            <w:tcW w:w="3544" w:type="dxa"/>
            <w:tcBorders>
              <w:top w:val="single" w:sz="4" w:space="0" w:color="A6A6A6" w:themeColor="background1" w:themeShade="A6"/>
            </w:tcBorders>
            <w:shd w:val="clear" w:color="auto" w:fill="auto"/>
            <w:noWrap/>
          </w:tcPr>
          <w:p w:rsidR="0088150A" w:rsidRPr="00B45687" w:rsidRDefault="0088150A" w:rsidP="002474C2">
            <w:pPr>
              <w:pStyle w:val="TableText"/>
              <w:spacing w:before="50" w:after="50"/>
            </w:pPr>
            <w:r w:rsidRPr="00B45687">
              <w:t>Conference support</w:t>
            </w:r>
          </w:p>
        </w:tc>
        <w:tc>
          <w:tcPr>
            <w:tcW w:w="1134" w:type="dxa"/>
            <w:tcBorders>
              <w:top w:val="single" w:sz="4" w:space="0" w:color="A6A6A6" w:themeColor="background1" w:themeShade="A6"/>
            </w:tcBorders>
            <w:shd w:val="clear" w:color="auto" w:fill="auto"/>
            <w:noWrap/>
            <w:vAlign w:val="center"/>
          </w:tcPr>
          <w:p w:rsidR="0088150A" w:rsidRPr="002474C2" w:rsidRDefault="0088150A" w:rsidP="002474C2">
            <w:pPr>
              <w:pStyle w:val="TableText"/>
              <w:spacing w:before="50" w:after="50"/>
              <w:jc w:val="center"/>
              <w:rPr>
                <w:rFonts w:eastAsia="Arial Unicode MS" w:cs="Segoe UI"/>
              </w:rPr>
            </w:pPr>
            <w:r w:rsidRPr="002474C2">
              <w:rPr>
                <w:rFonts w:cs="Segoe UI"/>
                <w:color w:val="000000"/>
              </w:rPr>
              <w:t>0.080</w:t>
            </w:r>
          </w:p>
        </w:tc>
        <w:tc>
          <w:tcPr>
            <w:tcW w:w="1134" w:type="dxa"/>
            <w:tcBorders>
              <w:top w:val="single" w:sz="4" w:space="0" w:color="A6A6A6" w:themeColor="background1" w:themeShade="A6"/>
            </w:tcBorders>
            <w:shd w:val="clear" w:color="auto" w:fill="auto"/>
            <w:noWrap/>
            <w:vAlign w:val="center"/>
          </w:tcPr>
          <w:p w:rsidR="0088150A" w:rsidRPr="002474C2" w:rsidRDefault="0088150A" w:rsidP="002474C2">
            <w:pPr>
              <w:pStyle w:val="TableText"/>
              <w:spacing w:before="50" w:after="50"/>
              <w:jc w:val="center"/>
              <w:rPr>
                <w:rFonts w:eastAsia="Arial Unicode MS" w:cs="Segoe UI"/>
              </w:rPr>
            </w:pPr>
            <w:r w:rsidRPr="002474C2">
              <w:rPr>
                <w:rFonts w:eastAsia="Arial Unicode MS" w:cs="Segoe UI"/>
              </w:rPr>
              <w:t>0.0</w:t>
            </w:r>
            <w:r w:rsidR="0002049A">
              <w:rPr>
                <w:rFonts w:eastAsia="Arial Unicode MS" w:cs="Segoe UI"/>
              </w:rPr>
              <w:t>00</w:t>
            </w:r>
          </w:p>
        </w:tc>
        <w:tc>
          <w:tcPr>
            <w:tcW w:w="1134" w:type="dxa"/>
            <w:tcBorders>
              <w:top w:val="single" w:sz="4" w:space="0" w:color="A6A6A6" w:themeColor="background1" w:themeShade="A6"/>
            </w:tcBorders>
            <w:shd w:val="clear" w:color="auto" w:fill="auto"/>
            <w:noWrap/>
            <w:vAlign w:val="center"/>
          </w:tcPr>
          <w:p w:rsidR="0088150A" w:rsidRPr="002474C2" w:rsidRDefault="0088150A" w:rsidP="002474C2">
            <w:pPr>
              <w:pStyle w:val="TableText"/>
              <w:spacing w:before="50" w:after="50"/>
              <w:jc w:val="center"/>
              <w:rPr>
                <w:rFonts w:eastAsia="Arial Unicode MS" w:cs="Segoe UI"/>
              </w:rPr>
            </w:pPr>
            <w:r w:rsidRPr="002474C2">
              <w:rPr>
                <w:rFonts w:cs="Segoe UI"/>
                <w:color w:val="000000"/>
              </w:rPr>
              <w:t>0.080</w:t>
            </w:r>
          </w:p>
        </w:tc>
        <w:tc>
          <w:tcPr>
            <w:tcW w:w="1134" w:type="dxa"/>
            <w:tcBorders>
              <w:top w:val="single" w:sz="4" w:space="0" w:color="A6A6A6" w:themeColor="background1" w:themeShade="A6"/>
            </w:tcBorders>
            <w:shd w:val="clear" w:color="auto" w:fill="auto"/>
            <w:vAlign w:val="center"/>
          </w:tcPr>
          <w:p w:rsidR="0088150A" w:rsidRPr="002474C2" w:rsidRDefault="0088150A" w:rsidP="002474C2">
            <w:pPr>
              <w:pStyle w:val="TableText"/>
              <w:tabs>
                <w:tab w:val="decimal" w:pos="454"/>
              </w:tabs>
              <w:spacing w:before="50" w:after="50"/>
              <w:rPr>
                <w:rFonts w:eastAsia="Arial Unicode MS" w:cs="Segoe UI"/>
              </w:rPr>
            </w:pPr>
            <w:r w:rsidRPr="002474C2">
              <w:rPr>
                <w:rFonts w:cs="Segoe UI"/>
                <w:color w:val="000000"/>
              </w:rPr>
              <w:t>0.160</w:t>
            </w:r>
          </w:p>
        </w:tc>
      </w:tr>
      <w:tr w:rsidR="0088150A" w:rsidRPr="002474C2" w:rsidTr="002474C2">
        <w:trPr>
          <w:cantSplit/>
        </w:trPr>
        <w:tc>
          <w:tcPr>
            <w:tcW w:w="3544" w:type="dxa"/>
            <w:shd w:val="clear" w:color="auto" w:fill="auto"/>
            <w:noWrap/>
          </w:tcPr>
          <w:p w:rsidR="0088150A" w:rsidRPr="002474C2" w:rsidRDefault="0088150A" w:rsidP="002474C2">
            <w:pPr>
              <w:pStyle w:val="TableText"/>
              <w:spacing w:before="50" w:after="50"/>
              <w:rPr>
                <w:b/>
                <w:lang w:eastAsia="en-US"/>
              </w:rPr>
            </w:pPr>
            <w:r w:rsidRPr="002474C2">
              <w:rPr>
                <w:b/>
                <w:lang w:eastAsia="en-US"/>
              </w:rPr>
              <w:t>Total ($m)</w:t>
            </w:r>
          </w:p>
        </w:tc>
        <w:tc>
          <w:tcPr>
            <w:tcW w:w="1134" w:type="dxa"/>
            <w:shd w:val="clear" w:color="auto" w:fill="FFFFFF" w:themeFill="background1"/>
            <w:noWrap/>
            <w:vAlign w:val="center"/>
          </w:tcPr>
          <w:p w:rsidR="0088150A" w:rsidRPr="002474C2" w:rsidRDefault="0088150A" w:rsidP="002474C2">
            <w:pPr>
              <w:pStyle w:val="TableText"/>
              <w:spacing w:before="50" w:after="50"/>
              <w:jc w:val="center"/>
              <w:rPr>
                <w:rFonts w:cs="Segoe UI"/>
                <w:b/>
                <w:color w:val="000000"/>
              </w:rPr>
            </w:pPr>
            <w:r w:rsidRPr="002474C2">
              <w:rPr>
                <w:rFonts w:cs="Segoe UI"/>
                <w:b/>
                <w:color w:val="000000"/>
              </w:rPr>
              <w:t>6.870</w:t>
            </w:r>
          </w:p>
        </w:tc>
        <w:tc>
          <w:tcPr>
            <w:tcW w:w="1134" w:type="dxa"/>
            <w:shd w:val="clear" w:color="auto" w:fill="FFFFFF" w:themeFill="background1"/>
            <w:noWrap/>
            <w:vAlign w:val="center"/>
          </w:tcPr>
          <w:p w:rsidR="0088150A" w:rsidRPr="002474C2" w:rsidRDefault="0088150A" w:rsidP="002474C2">
            <w:pPr>
              <w:pStyle w:val="TableText"/>
              <w:spacing w:before="50" w:after="50"/>
              <w:jc w:val="center"/>
              <w:rPr>
                <w:rFonts w:cs="Segoe UI"/>
                <w:b/>
                <w:color w:val="000000"/>
              </w:rPr>
            </w:pPr>
            <w:r w:rsidRPr="002474C2">
              <w:rPr>
                <w:rFonts w:cs="Segoe UI"/>
                <w:b/>
                <w:color w:val="000000"/>
              </w:rPr>
              <w:t>6.790</w:t>
            </w:r>
          </w:p>
        </w:tc>
        <w:tc>
          <w:tcPr>
            <w:tcW w:w="1134" w:type="dxa"/>
            <w:shd w:val="clear" w:color="auto" w:fill="FFFFFF" w:themeFill="background1"/>
            <w:noWrap/>
            <w:vAlign w:val="center"/>
          </w:tcPr>
          <w:p w:rsidR="0088150A" w:rsidRPr="002474C2" w:rsidRDefault="0088150A" w:rsidP="002474C2">
            <w:pPr>
              <w:pStyle w:val="TableText"/>
              <w:spacing w:before="50" w:after="50"/>
              <w:jc w:val="center"/>
              <w:rPr>
                <w:rFonts w:cs="Segoe UI"/>
                <w:b/>
                <w:color w:val="000000"/>
              </w:rPr>
            </w:pPr>
            <w:r w:rsidRPr="002474C2">
              <w:rPr>
                <w:rFonts w:cs="Segoe UI"/>
                <w:b/>
                <w:color w:val="000000"/>
              </w:rPr>
              <w:t>6.870</w:t>
            </w:r>
          </w:p>
        </w:tc>
        <w:tc>
          <w:tcPr>
            <w:tcW w:w="1134" w:type="dxa"/>
            <w:shd w:val="clear" w:color="auto" w:fill="auto"/>
            <w:vAlign w:val="center"/>
          </w:tcPr>
          <w:p w:rsidR="0088150A" w:rsidRPr="002474C2" w:rsidRDefault="0088150A" w:rsidP="002474C2">
            <w:pPr>
              <w:pStyle w:val="TableText"/>
              <w:tabs>
                <w:tab w:val="decimal" w:pos="454"/>
              </w:tabs>
              <w:spacing w:before="50" w:after="50"/>
              <w:rPr>
                <w:rFonts w:eastAsia="Arial Unicode MS" w:cs="Segoe UI"/>
                <w:b/>
              </w:rPr>
            </w:pPr>
            <w:r w:rsidRPr="002474C2">
              <w:rPr>
                <w:rFonts w:cs="Segoe UI"/>
                <w:b/>
                <w:bCs/>
                <w:color w:val="000000"/>
              </w:rPr>
              <w:t>20.530</w:t>
            </w:r>
          </w:p>
        </w:tc>
      </w:tr>
    </w:tbl>
    <w:p w:rsidR="0088150A" w:rsidRDefault="0088150A" w:rsidP="002474C2">
      <w:pPr>
        <w:pStyle w:val="Note"/>
      </w:pPr>
      <w:r w:rsidRPr="00B45687">
        <w:t>Note: All service areas include provision for dedicated Māori, Pacific and Asian services and activities.</w:t>
      </w:r>
    </w:p>
    <w:p w:rsidR="0088150A" w:rsidRPr="00E312E8" w:rsidRDefault="0088150A" w:rsidP="002474C2">
      <w:pPr>
        <w:pStyle w:val="Heading3"/>
        <w:numPr>
          <w:ilvl w:val="0"/>
          <w:numId w:val="0"/>
        </w:numPr>
      </w:pPr>
      <w:bookmarkStart w:id="202" w:name="_Toc59414783"/>
      <w:bookmarkStart w:id="203" w:name="_Toc56522599"/>
      <w:bookmarkEnd w:id="185"/>
      <w:bookmarkEnd w:id="186"/>
      <w:r w:rsidRPr="00E312E8">
        <w:t>Primary prevention (public health action)</w:t>
      </w:r>
    </w:p>
    <w:p w:rsidR="0088150A" w:rsidRDefault="0088150A" w:rsidP="002474C2">
      <w:r w:rsidRPr="00C10A99">
        <w:t xml:space="preserve">Primary prevention services </w:t>
      </w:r>
      <w:r>
        <w:t>cover</w:t>
      </w:r>
      <w:r w:rsidRPr="00C10A99">
        <w:t xml:space="preserve"> health promotion, increasing community action, raising community awareness about gambling and problem gambling, working with territorial authorities on their gambling venue policies and supporting the </w:t>
      </w:r>
      <w:r>
        <w:t xml:space="preserve">public health </w:t>
      </w:r>
      <w:r w:rsidRPr="00C10A99">
        <w:t>awareness and education programme</w:t>
      </w:r>
      <w:r>
        <w:t>s</w:t>
      </w:r>
      <w:r w:rsidRPr="00C10A99">
        <w:t xml:space="preserve"> at a local and regional level.</w:t>
      </w:r>
    </w:p>
    <w:p w:rsidR="0088150A" w:rsidRPr="00C10A99" w:rsidRDefault="0088150A" w:rsidP="002474C2"/>
    <w:p w:rsidR="0088150A" w:rsidRDefault="0088150A" w:rsidP="002474C2">
      <w:r w:rsidRPr="00C10A99">
        <w:t>The Ministry will continue to fund dedicated Māori, Pacific and Asian providers to offer primary prevention services</w:t>
      </w:r>
      <w:r>
        <w:t xml:space="preserve"> and explore further ways to reach those most at risk of gambling harm</w:t>
      </w:r>
      <w:r w:rsidRPr="00C10A99">
        <w:t>.</w:t>
      </w:r>
    </w:p>
    <w:p w:rsidR="0088150A" w:rsidRPr="00C10A99" w:rsidRDefault="0088150A" w:rsidP="002474C2"/>
    <w:p w:rsidR="0088150A" w:rsidRDefault="0088150A" w:rsidP="002474C2">
      <w:r w:rsidRPr="00C10A99">
        <w:t>The</w:t>
      </w:r>
      <w:r>
        <w:t xml:space="preserve"> Ministry intends that service providers work across the five general domains listed below. However, it is clear that some behaviour change and innovation is required. The Ministry will undertake further advice and design work before it purchases services through a procurement process.</w:t>
      </w:r>
    </w:p>
    <w:p w:rsidR="0088150A" w:rsidRPr="002474C2" w:rsidRDefault="002474C2" w:rsidP="002474C2">
      <w:pPr>
        <w:spacing w:before="120"/>
        <w:ind w:left="567" w:hanging="567"/>
      </w:pPr>
      <w:r>
        <w:t>1.</w:t>
      </w:r>
      <w:r>
        <w:tab/>
      </w:r>
      <w:r w:rsidR="0088150A">
        <w:rPr>
          <w:b/>
        </w:rPr>
        <w:t>P</w:t>
      </w:r>
      <w:r w:rsidR="0088150A" w:rsidRPr="00E312E8">
        <w:rPr>
          <w:b/>
        </w:rPr>
        <w:t xml:space="preserve">olicy development and </w:t>
      </w:r>
      <w:r w:rsidR="0088150A" w:rsidRPr="002474C2">
        <w:rPr>
          <w:b/>
        </w:rPr>
        <w:t>implementation:</w:t>
      </w:r>
      <w:r w:rsidR="0088150A" w:rsidRPr="002474C2">
        <w:t xml:space="preserve"> The Ministry and service providers</w:t>
      </w:r>
      <w:r w:rsidR="002B4C78">
        <w:rPr>
          <w:rStyle w:val="FootnoteReference"/>
        </w:rPr>
        <w:footnoteReference w:id="15"/>
      </w:r>
      <w:r w:rsidR="0088150A" w:rsidRPr="002474C2">
        <w:t xml:space="preserve"> engage with other government agencies, social organisations and private industries and businesses to reduce gambling harm.</w:t>
      </w:r>
    </w:p>
    <w:p w:rsidR="0088150A" w:rsidRPr="002474C2" w:rsidRDefault="002474C2" w:rsidP="002474C2">
      <w:pPr>
        <w:spacing w:before="120"/>
        <w:ind w:left="567" w:hanging="567"/>
      </w:pPr>
      <w:r>
        <w:t>2.</w:t>
      </w:r>
      <w:r>
        <w:tab/>
      </w:r>
      <w:r w:rsidR="0088150A" w:rsidRPr="002474C2">
        <w:rPr>
          <w:b/>
        </w:rPr>
        <w:t>Safe gambling environments:</w:t>
      </w:r>
      <w:r w:rsidR="0088150A" w:rsidRPr="002474C2">
        <w:t xml:space="preserve"> Environments that provide gambling opportunities are encouraged to actively minimise harm, and individuals are supported to recognise and seek support to minimise gambling harm.</w:t>
      </w:r>
    </w:p>
    <w:p w:rsidR="0088150A" w:rsidRPr="002474C2" w:rsidRDefault="002474C2" w:rsidP="002474C2">
      <w:pPr>
        <w:spacing w:before="120"/>
        <w:ind w:left="567" w:hanging="567"/>
      </w:pPr>
      <w:r>
        <w:t>3.</w:t>
      </w:r>
      <w:r>
        <w:tab/>
      </w:r>
      <w:r w:rsidR="0088150A" w:rsidRPr="002474C2">
        <w:rPr>
          <w:b/>
        </w:rPr>
        <w:t>Supportive communities:</w:t>
      </w:r>
      <w:r w:rsidR="0088150A" w:rsidRPr="002474C2">
        <w:t xml:space="preserve"> People live in communities that provide strong protective factors and that support individual and family resilience.</w:t>
      </w:r>
    </w:p>
    <w:p w:rsidR="00A10EC0" w:rsidRPr="002474C2" w:rsidRDefault="002474C2" w:rsidP="002474C2">
      <w:pPr>
        <w:spacing w:before="120"/>
        <w:ind w:left="567" w:hanging="567"/>
      </w:pPr>
      <w:r>
        <w:t>4.</w:t>
      </w:r>
      <w:r>
        <w:tab/>
      </w:r>
      <w:r w:rsidR="0088150A" w:rsidRPr="002474C2">
        <w:rPr>
          <w:b/>
        </w:rPr>
        <w:t>Aware and motivated communities:</w:t>
      </w:r>
      <w:r w:rsidR="0088150A" w:rsidRPr="002474C2">
        <w:t xml:space="preserve"> Agencies, communities, families and individuals are aware of the signs and range of harmful gambling arising from gambling and how/where to seek support.</w:t>
      </w:r>
    </w:p>
    <w:p w:rsidR="0088150A" w:rsidRPr="00C10A99" w:rsidRDefault="002474C2" w:rsidP="002474C2">
      <w:pPr>
        <w:spacing w:before="120"/>
        <w:ind w:left="567" w:hanging="567"/>
      </w:pPr>
      <w:r>
        <w:lastRenderedPageBreak/>
        <w:t>5.</w:t>
      </w:r>
      <w:r>
        <w:tab/>
      </w:r>
      <w:r w:rsidR="0088150A" w:rsidRPr="002474C2">
        <w:rPr>
          <w:b/>
        </w:rPr>
        <w:t>Effective screening environments:</w:t>
      </w:r>
      <w:r w:rsidR="0088150A" w:rsidRPr="002474C2">
        <w:t xml:space="preserve"> Individuals at risk of experiencing harm from gambling are identified as early as possible, and are made aware of where to access appropriate minimising</w:t>
      </w:r>
      <w:r w:rsidR="0088150A" w:rsidRPr="00C10A99">
        <w:t xml:space="preserve"> gambling harm intervention services.</w:t>
      </w:r>
    </w:p>
    <w:bookmarkEnd w:id="202"/>
    <w:bookmarkEnd w:id="203"/>
    <w:p w:rsidR="0088150A" w:rsidRDefault="0088150A" w:rsidP="002B4C78">
      <w:pPr>
        <w:spacing w:before="240"/>
      </w:pPr>
      <w:r w:rsidRPr="00C10A99">
        <w:t xml:space="preserve">Based on its current experience and the </w:t>
      </w:r>
      <w:r>
        <w:t>n</w:t>
      </w:r>
      <w:r w:rsidRPr="00C10A99">
        <w:t xml:space="preserve">eeds </w:t>
      </w:r>
      <w:r>
        <w:t>a</w:t>
      </w:r>
      <w:r w:rsidRPr="00C10A99">
        <w:t xml:space="preserve">ssessment, the Ministry </w:t>
      </w:r>
      <w:r>
        <w:t xml:space="preserve">intends to maintain funding for existing services </w:t>
      </w:r>
      <w:r w:rsidRPr="00C10A99">
        <w:t xml:space="preserve">at broadly the same level as in the previous </w:t>
      </w:r>
      <w:r>
        <w:t xml:space="preserve">funding </w:t>
      </w:r>
      <w:r w:rsidRPr="00C10A99">
        <w:t>period. However, it intends to explore the potential for innovation within that overall budget, particularly taking a community mobilisation</w:t>
      </w:r>
      <w:r>
        <w:t xml:space="preserve"> </w:t>
      </w:r>
      <w:r w:rsidRPr="00C10A99">
        <w:t>approach</w:t>
      </w:r>
      <w:r>
        <w:t>, and drawing on successful models across the wider health system.</w:t>
      </w:r>
    </w:p>
    <w:p w:rsidR="0088150A" w:rsidRPr="00C10A99" w:rsidRDefault="0088150A" w:rsidP="002474C2">
      <w:pPr>
        <w:pStyle w:val="Heading3"/>
        <w:numPr>
          <w:ilvl w:val="0"/>
          <w:numId w:val="0"/>
        </w:numPr>
      </w:pPr>
      <w:r w:rsidRPr="00C10A99">
        <w:t>Workforce development (public health)</w:t>
      </w:r>
    </w:p>
    <w:p w:rsidR="00A10EC0" w:rsidRPr="002474C2" w:rsidRDefault="0088150A" w:rsidP="002474C2">
      <w:pPr>
        <w:rPr>
          <w:spacing w:val="-2"/>
        </w:rPr>
      </w:pPr>
      <w:r w:rsidRPr="002474C2">
        <w:rPr>
          <w:spacing w:val="-2"/>
        </w:rPr>
        <w:t>In the 2013/14–2015/16 period, the Ministry</w:t>
      </w:r>
      <w:r w:rsidR="00A10EC0" w:rsidRPr="002474C2">
        <w:rPr>
          <w:spacing w:val="-2"/>
        </w:rPr>
        <w:t>’</w:t>
      </w:r>
      <w:r w:rsidRPr="002474C2">
        <w:rPr>
          <w:spacing w:val="-2"/>
        </w:rPr>
        <w:t>s gambling harm public health workforce development provider identified the core competencies (including the cultural competencies) required for that workforce. In the most recent period, public health core competency assessment tools were developed to enable the public health workforce to assess their competency levels and associated training and development needs.</w:t>
      </w:r>
    </w:p>
    <w:p w:rsidR="0088150A" w:rsidRDefault="0088150A" w:rsidP="002474C2"/>
    <w:p w:rsidR="0088150A" w:rsidRDefault="0088150A" w:rsidP="002474C2">
      <w:r w:rsidRPr="00C10A99">
        <w:t xml:space="preserve">The focus in </w:t>
      </w:r>
      <w:r>
        <w:t xml:space="preserve">the </w:t>
      </w:r>
      <w:r w:rsidRPr="00C10A99">
        <w:t>2019/20</w:t>
      </w:r>
      <w:r>
        <w:t>–</w:t>
      </w:r>
      <w:r w:rsidRPr="00C10A99">
        <w:t xml:space="preserve">2021/22 </w:t>
      </w:r>
      <w:r>
        <w:t xml:space="preserve">period </w:t>
      </w:r>
      <w:r w:rsidRPr="00C10A99">
        <w:t xml:space="preserve">will be increasing uptake of a training programme to </w:t>
      </w:r>
      <w:r>
        <w:t>help the workforce</w:t>
      </w:r>
      <w:r w:rsidRPr="00C10A99">
        <w:t xml:space="preserve"> </w:t>
      </w:r>
      <w:r>
        <w:t>identify</w:t>
      </w:r>
      <w:r w:rsidRPr="00C10A99">
        <w:t xml:space="preserve"> </w:t>
      </w:r>
      <w:r>
        <w:t xml:space="preserve">and achieve </w:t>
      </w:r>
      <w:r w:rsidRPr="00C10A99">
        <w:t>appropriate formal qualifications</w:t>
      </w:r>
      <w:r>
        <w:t>.</w:t>
      </w:r>
    </w:p>
    <w:p w:rsidR="0088150A" w:rsidRDefault="0088150A" w:rsidP="002474C2"/>
    <w:p w:rsidR="00A10EC0" w:rsidRDefault="003E2753" w:rsidP="002474C2">
      <w:r>
        <w:t>In addition, s</w:t>
      </w:r>
      <w:r w:rsidR="0088150A">
        <w:t>ubmissions identified that there needs to be greater emphasis on understanding different worldviews in cultural competence training, including training for health support people working with Māori, Pacific and Asian communities.</w:t>
      </w:r>
    </w:p>
    <w:p w:rsidR="0088150A" w:rsidRPr="00A66817" w:rsidRDefault="0088150A" w:rsidP="002474C2">
      <w:pPr>
        <w:pStyle w:val="Heading3"/>
        <w:numPr>
          <w:ilvl w:val="0"/>
          <w:numId w:val="0"/>
        </w:numPr>
      </w:pPr>
      <w:r w:rsidRPr="00A66817">
        <w:t xml:space="preserve">Awareness and </w:t>
      </w:r>
      <w:r>
        <w:t xml:space="preserve">behaviour change </w:t>
      </w:r>
      <w:r w:rsidRPr="00A66817">
        <w:t>programme</w:t>
      </w:r>
    </w:p>
    <w:p w:rsidR="0088150A" w:rsidRDefault="0088150A" w:rsidP="002474C2">
      <w:r>
        <w:t>The Ministry expects that health promotion programmes will continue to raise awareness and educate about the signs and risks of harmful gambling, and how people can respond and seek help, by:</w:t>
      </w:r>
    </w:p>
    <w:p w:rsidR="0088150A" w:rsidRPr="000D164E" w:rsidRDefault="0088150A" w:rsidP="002474C2">
      <w:pPr>
        <w:pStyle w:val="Bullet"/>
      </w:pPr>
      <w:r w:rsidRPr="000D164E">
        <w:t>promoting risk awareness and positive action messages t</w:t>
      </w:r>
      <w:r>
        <w:t xml:space="preserve">hat </w:t>
      </w:r>
      <w:r w:rsidRPr="000D164E">
        <w:t>encourage positive behaviour change</w:t>
      </w:r>
    </w:p>
    <w:p w:rsidR="00A10EC0" w:rsidRDefault="0088150A" w:rsidP="002474C2">
      <w:pPr>
        <w:pStyle w:val="Bullet"/>
      </w:pPr>
      <w:r w:rsidRPr="000D164E">
        <w:t xml:space="preserve">encouraging the development and promotion of self-help digital tools to improve access to </w:t>
      </w:r>
      <w:r>
        <w:t xml:space="preserve">relevant information, </w:t>
      </w:r>
      <w:r w:rsidRPr="000D164E">
        <w:t>help and online support</w:t>
      </w:r>
    </w:p>
    <w:p w:rsidR="0088150A" w:rsidRPr="007E6FF1" w:rsidRDefault="0088150A" w:rsidP="002474C2">
      <w:pPr>
        <w:pStyle w:val="Bullet"/>
      </w:pPr>
      <w:r w:rsidRPr="000D164E">
        <w:t>improving the reach of services to M</w:t>
      </w:r>
      <w:r w:rsidRPr="005C435B">
        <w:t>ā</w:t>
      </w:r>
      <w:r w:rsidRPr="000D164E">
        <w:t>ori, Pacific</w:t>
      </w:r>
      <w:r>
        <w:t>,</w:t>
      </w:r>
      <w:r w:rsidRPr="000D164E">
        <w:t xml:space="preserve"> Asian and other vulnerable groups</w:t>
      </w:r>
      <w:r>
        <w:t xml:space="preserve">, and the associated </w:t>
      </w:r>
      <w:r w:rsidRPr="009E4E23">
        <w:t xml:space="preserve">uptake </w:t>
      </w:r>
      <w:r>
        <w:t>of treatment and support.</w:t>
      </w:r>
    </w:p>
    <w:p w:rsidR="0088150A" w:rsidRDefault="0088150A" w:rsidP="002474C2"/>
    <w:p w:rsidR="0088150A" w:rsidRDefault="0088150A" w:rsidP="002474C2">
      <w:r>
        <w:t xml:space="preserve">HPA will continue to </w:t>
      </w:r>
      <w:r w:rsidRPr="002C3F80">
        <w:t>actively promote the</w:t>
      </w:r>
      <w:r w:rsidRPr="003F5E34">
        <w:t xml:space="preserve"> Gambling Helpline, </w:t>
      </w:r>
      <w:hyperlink w:history="1">
        <w:r w:rsidRPr="002474C2">
          <w:rPr>
            <w:rFonts w:eastAsia="MS Gothic"/>
          </w:rPr>
          <w:t xml:space="preserve">Choice Not Chance (www.choicenotchance.org.nz) and face-to-face services, with a renewed focus on </w:t>
        </w:r>
      </w:hyperlink>
      <w:r w:rsidRPr="002474C2">
        <w:t>Māori, Pacific and Asian audiences and other vulnerable groups, for</w:t>
      </w:r>
      <w:r w:rsidRPr="003F5E34">
        <w:t xml:space="preserve"> the</w:t>
      </w:r>
      <w:r w:rsidR="002B4C78">
        <w:t xml:space="preserve"> </w:t>
      </w:r>
      <w:r w:rsidRPr="003F5E34">
        <w:t>2019/20</w:t>
      </w:r>
      <w:r>
        <w:t>–</w:t>
      </w:r>
      <w:r w:rsidRPr="003F5E34">
        <w:t>2021/22 period.</w:t>
      </w:r>
      <w:r>
        <w:t xml:space="preserve"> </w:t>
      </w:r>
      <w:r w:rsidRPr="00C748D1">
        <w:t xml:space="preserve">HPA will </w:t>
      </w:r>
      <w:r>
        <w:t xml:space="preserve">also </w:t>
      </w:r>
      <w:r w:rsidRPr="00C748D1">
        <w:t xml:space="preserve">develop </w:t>
      </w:r>
      <w:r>
        <w:t xml:space="preserve">and </w:t>
      </w:r>
      <w:r w:rsidRPr="00C748D1">
        <w:t>promote self-help digital tools to increase accessibility to help and provide online support information</w:t>
      </w:r>
      <w:r>
        <w:t>. It will also</w:t>
      </w:r>
      <w:r w:rsidRPr="003F5E34">
        <w:t xml:space="preserve"> continue to work in partnership with DIA and the Ministry to promote safer gambling environments and host responsibilit</w:t>
      </w:r>
      <w:r>
        <w:t>y</w:t>
      </w:r>
      <w:r w:rsidRPr="003F5E34">
        <w:t>, including embedding work with class</w:t>
      </w:r>
      <w:r w:rsidR="002474C2">
        <w:t> </w:t>
      </w:r>
      <w:r w:rsidRPr="003F5E34">
        <w:t>4 venues and expanding these activities to address other modes of gambling.</w:t>
      </w:r>
    </w:p>
    <w:p w:rsidR="0088150A" w:rsidRDefault="0088150A" w:rsidP="002474C2"/>
    <w:p w:rsidR="0088150A" w:rsidRPr="003F5E34" w:rsidRDefault="0088150A" w:rsidP="002474C2">
      <w:pPr>
        <w:keepLines/>
      </w:pPr>
      <w:r w:rsidRPr="003F5E34">
        <w:lastRenderedPageBreak/>
        <w:t xml:space="preserve">National and regional service providers </w:t>
      </w:r>
      <w:r>
        <w:t xml:space="preserve">will continue to provide </w:t>
      </w:r>
      <w:r w:rsidRPr="003F5E34">
        <w:t>a variety of health promotion activities to minimise gambling</w:t>
      </w:r>
      <w:r w:rsidR="00200481">
        <w:t>-</w:t>
      </w:r>
      <w:r w:rsidRPr="003F5E34">
        <w:t>related harm in the community. These activities include advocating for healthy policies with other agencies, working with gambling venues, increasing community action and raising community awareness of gambling harm at local and regional level</w:t>
      </w:r>
      <w:r w:rsidR="00A222E5">
        <w:t>s</w:t>
      </w:r>
      <w:r w:rsidRPr="003F5E34">
        <w:t xml:space="preserve">. In line with the </w:t>
      </w:r>
      <w:r>
        <w:t>strategy</w:t>
      </w:r>
      <w:r w:rsidR="00A10EC0">
        <w:t>’</w:t>
      </w:r>
      <w:r>
        <w:t xml:space="preserve">s </w:t>
      </w:r>
      <w:r w:rsidRPr="003F5E34">
        <w:t>objectives,</w:t>
      </w:r>
      <w:r>
        <w:t xml:space="preserve"> the Ministry will support</w:t>
      </w:r>
      <w:r w:rsidRPr="003F5E34">
        <w:t xml:space="preserve"> </w:t>
      </w:r>
      <w:r>
        <w:t>service providers</w:t>
      </w:r>
      <w:r w:rsidR="00A222E5">
        <w:t>,</w:t>
      </w:r>
      <w:r>
        <w:t xml:space="preserve"> including </w:t>
      </w:r>
      <w:r w:rsidRPr="003F5E34">
        <w:t>dedicated Māori, Pacific and Asian public health service</w:t>
      </w:r>
      <w:r>
        <w:t xml:space="preserve"> providers</w:t>
      </w:r>
      <w:r w:rsidR="00A222E5">
        <w:t>,</w:t>
      </w:r>
      <w:r>
        <w:t xml:space="preserve"> to </w:t>
      </w:r>
      <w:r w:rsidRPr="003F5E34">
        <w:t>provide appropriate services within their communities.</w:t>
      </w:r>
    </w:p>
    <w:p w:rsidR="0088150A" w:rsidRDefault="0088150A" w:rsidP="002474C2"/>
    <w:p w:rsidR="0088150A" w:rsidRDefault="0088150A" w:rsidP="002474C2">
      <w:r>
        <w:t>The Ministry will encourage s</w:t>
      </w:r>
      <w:r w:rsidRPr="003F5E34">
        <w:t>ervice providers</w:t>
      </w:r>
      <w:r>
        <w:t xml:space="preserve">, and the gambling sector generally, to </w:t>
      </w:r>
      <w:r w:rsidRPr="003F5E34">
        <w:t xml:space="preserve">participate in reviews of national and local </w:t>
      </w:r>
      <w:r>
        <w:t xml:space="preserve">council </w:t>
      </w:r>
      <w:r w:rsidRPr="003F5E34">
        <w:t xml:space="preserve">gambling venue policies, providing a community perspective to the three-yearly consultation process undertaken by territorial authorities. </w:t>
      </w:r>
      <w:r>
        <w:t>Previously, t</w:t>
      </w:r>
      <w:r w:rsidRPr="003F5E34">
        <w:t>his process has resulted in a number of authorities introducing either gaming machine caps or sinking-lid policies in their regions.</w:t>
      </w:r>
    </w:p>
    <w:p w:rsidR="0088150A" w:rsidRPr="00C10A99" w:rsidRDefault="0088150A" w:rsidP="002474C2">
      <w:pPr>
        <w:pStyle w:val="Heading3"/>
        <w:numPr>
          <w:ilvl w:val="0"/>
          <w:numId w:val="0"/>
        </w:numPr>
      </w:pPr>
      <w:r w:rsidRPr="00E312E8">
        <w:t>National coordination</w:t>
      </w:r>
      <w:r>
        <w:t>, consumer networks</w:t>
      </w:r>
      <w:r w:rsidRPr="00E312E8">
        <w:t xml:space="preserve"> and conference support</w:t>
      </w:r>
    </w:p>
    <w:p w:rsidR="0088150A" w:rsidRDefault="0088150A" w:rsidP="002474C2">
      <w:r w:rsidRPr="00C10A99">
        <w:t>National coordination and conference support services support</w:t>
      </w:r>
      <w:r w:rsidR="00A222E5" w:rsidRPr="00A222E5">
        <w:t xml:space="preserve"> </w:t>
      </w:r>
      <w:r w:rsidR="00A222E5">
        <w:t xml:space="preserve">the </w:t>
      </w:r>
      <w:r w:rsidR="00A222E5" w:rsidRPr="00C10A99">
        <w:t>capacity and capability</w:t>
      </w:r>
      <w:r w:rsidRPr="00C10A99">
        <w:t xml:space="preserve"> </w:t>
      </w:r>
      <w:r w:rsidR="00A222E5">
        <w:t xml:space="preserve">of </w:t>
      </w:r>
      <w:r w:rsidRPr="00C10A99">
        <w:t>both public health and intervention service</w:t>
      </w:r>
      <w:r w:rsidR="00A222E5">
        <w:t>s</w:t>
      </w:r>
      <w:r w:rsidRPr="00C10A99">
        <w:t>. The</w:t>
      </w:r>
      <w:r>
        <w:t xml:space="preserve">se services </w:t>
      </w:r>
      <w:r w:rsidRPr="00C10A99">
        <w:t>have been included under public health expenditure because they align with public health principles.</w:t>
      </w:r>
    </w:p>
    <w:p w:rsidR="0088150A" w:rsidRPr="00C10A99" w:rsidRDefault="0088150A" w:rsidP="002474C2">
      <w:pPr>
        <w:pStyle w:val="Heading4"/>
        <w:rPr>
          <w:rFonts w:cs="Arial"/>
        </w:rPr>
      </w:pPr>
      <w:r w:rsidRPr="00C10A99">
        <w:t>National coordination</w:t>
      </w:r>
      <w:r>
        <w:t xml:space="preserve"> service</w:t>
      </w:r>
    </w:p>
    <w:p w:rsidR="0088150A" w:rsidRDefault="0088150A" w:rsidP="002474C2">
      <w:r w:rsidRPr="00C10A99">
        <w:t xml:space="preserve">The national coordination service is a key support </w:t>
      </w:r>
      <w:r>
        <w:t xml:space="preserve">for </w:t>
      </w:r>
      <w:r w:rsidRPr="00C10A99">
        <w:t>preventi</w:t>
      </w:r>
      <w:r>
        <w:t>ng</w:t>
      </w:r>
      <w:r w:rsidRPr="00C10A99">
        <w:t xml:space="preserve"> and minimising gambling harm</w:t>
      </w:r>
      <w:r w:rsidRPr="00DA16E6">
        <w:t xml:space="preserve"> </w:t>
      </w:r>
      <w:r>
        <w:t>services</w:t>
      </w:r>
      <w:r w:rsidRPr="00C10A99">
        <w:t xml:space="preserve">. </w:t>
      </w:r>
      <w:r>
        <w:t xml:space="preserve">It </w:t>
      </w:r>
      <w:r w:rsidRPr="00C10A99">
        <w:t>informs all service providers of significant developments, facilitates training opportunities</w:t>
      </w:r>
      <w:r>
        <w:t>,</w:t>
      </w:r>
      <w:r w:rsidRPr="00C10A99">
        <w:t xml:space="preserve"> provides regular updates and administers the National Preventing and Minimising Gambling Harm Advisory Group.</w:t>
      </w:r>
    </w:p>
    <w:p w:rsidR="0088150A" w:rsidRDefault="0088150A" w:rsidP="002474C2">
      <w:pPr>
        <w:pStyle w:val="Heading4"/>
      </w:pPr>
      <w:r>
        <w:t>Consumer network</w:t>
      </w:r>
    </w:p>
    <w:p w:rsidR="00A10EC0" w:rsidRDefault="0088150A" w:rsidP="002474C2">
      <w:r>
        <w:t xml:space="preserve">The Ministry will provide funding and support to establish a national consumer network </w:t>
      </w:r>
      <w:r w:rsidRPr="006A52E8">
        <w:t>(</w:t>
      </w:r>
      <w:r w:rsidR="00A10EC0">
        <w:t>‘</w:t>
      </w:r>
      <w:r w:rsidRPr="006A52E8">
        <w:t>experts-by-experience</w:t>
      </w:r>
      <w:r w:rsidR="00A10EC0">
        <w:t>’</w:t>
      </w:r>
      <w:r w:rsidRPr="006A52E8">
        <w:t xml:space="preserve">) </w:t>
      </w:r>
      <w:r>
        <w:t>during this levy period. The network will inform service design and evaluation, particularly when the Ministry is piloting innovative services, and will assist with laying the foundations for introducing peer support into intervention services over time</w:t>
      </w:r>
      <w:r w:rsidRPr="006A52E8">
        <w:t>. The intention is</w:t>
      </w:r>
      <w:r>
        <w:t xml:space="preserve"> to</w:t>
      </w:r>
      <w:r w:rsidRPr="006A52E8">
        <w:t xml:space="preserve"> provide a systematic means for consumers to inform service design and evaluation</w:t>
      </w:r>
      <w:r>
        <w:t>/research</w:t>
      </w:r>
      <w:r w:rsidRPr="006A52E8">
        <w:t>.</w:t>
      </w:r>
    </w:p>
    <w:p w:rsidR="002474C2" w:rsidRDefault="002474C2" w:rsidP="002474C2"/>
    <w:p w:rsidR="0088150A" w:rsidRPr="00DE5AB4" w:rsidRDefault="0088150A" w:rsidP="002474C2">
      <w:r w:rsidRPr="006A52E8">
        <w:t>Consumer networks are common in other health service areas. Internationally, advice from consumers is considered essential to the development, delivery and evaluation of mental health and addiction services. A key consideration is ensur</w:t>
      </w:r>
      <w:r>
        <w:t>ing</w:t>
      </w:r>
      <w:r w:rsidRPr="006A52E8">
        <w:t xml:space="preserve"> that such </w:t>
      </w:r>
      <w:r>
        <w:t xml:space="preserve">a </w:t>
      </w:r>
      <w:r w:rsidRPr="006A52E8">
        <w:t xml:space="preserve">network can provide free and frank advice to the Ministry. The indicative costs </w:t>
      </w:r>
      <w:r>
        <w:t xml:space="preserve">(see </w:t>
      </w:r>
      <w:r w:rsidRPr="006A52E8">
        <w:t>Table</w:t>
      </w:r>
      <w:r w:rsidR="002474C2">
        <w:t> </w:t>
      </w:r>
      <w:r w:rsidRPr="006A52E8">
        <w:t>1</w:t>
      </w:r>
      <w:r>
        <w:t>6)</w:t>
      </w:r>
      <w:r w:rsidRPr="006A52E8">
        <w:t xml:space="preserve"> cover travel, meeting and coordinator costs</w:t>
      </w:r>
      <w:r w:rsidRPr="001C1CBD">
        <w:t>. Th</w:t>
      </w:r>
      <w:r w:rsidRPr="00DE5AB4">
        <w:t xml:space="preserve">is proposal </w:t>
      </w:r>
      <w:r>
        <w:t>aligns with the Ministry</w:t>
      </w:r>
      <w:r w:rsidR="00A10EC0">
        <w:t>’</w:t>
      </w:r>
      <w:r>
        <w:t xml:space="preserve">s </w:t>
      </w:r>
      <w:r w:rsidRPr="00DE5AB4">
        <w:t>Mental Health and Addiction Directorate</w:t>
      </w:r>
      <w:r>
        <w:t xml:space="preserve"> goal to have </w:t>
      </w:r>
      <w:r w:rsidRPr="00DE5AB4">
        <w:t xml:space="preserve">consumer networks </w:t>
      </w:r>
      <w:r>
        <w:t xml:space="preserve">covering all of its </w:t>
      </w:r>
      <w:r w:rsidRPr="00DE5AB4">
        <w:t>work</w:t>
      </w:r>
      <w:r>
        <w:t>.</w:t>
      </w:r>
    </w:p>
    <w:p w:rsidR="0088150A" w:rsidRDefault="0088150A" w:rsidP="002474C2">
      <w:pPr>
        <w:pStyle w:val="Heading4"/>
      </w:pPr>
      <w:r w:rsidRPr="00C10A99">
        <w:lastRenderedPageBreak/>
        <w:t>Conference support</w:t>
      </w:r>
    </w:p>
    <w:p w:rsidR="0088150A" w:rsidRPr="00C10A99" w:rsidRDefault="0088150A" w:rsidP="002474C2">
      <w:r w:rsidRPr="00C10A99">
        <w:t xml:space="preserve">The Ministry contributes </w:t>
      </w:r>
      <w:r>
        <w:t xml:space="preserve">part of the </w:t>
      </w:r>
      <w:r w:rsidRPr="00C10A99">
        <w:t xml:space="preserve">funding </w:t>
      </w:r>
      <w:r>
        <w:t xml:space="preserve">for </w:t>
      </w:r>
      <w:r w:rsidRPr="00C10A99">
        <w:t xml:space="preserve">a biennial international gambling conference held in New Zealand and an </w:t>
      </w:r>
      <w:r>
        <w:t xml:space="preserve">associated </w:t>
      </w:r>
      <w:r w:rsidRPr="00C10A99">
        <w:t>international think</w:t>
      </w:r>
      <w:r>
        <w:t xml:space="preserve"> </w:t>
      </w:r>
      <w:r w:rsidRPr="00C10A99">
        <w:t>tank. The conference will take place twice in the 2019/20</w:t>
      </w:r>
      <w:r>
        <w:t>–</w:t>
      </w:r>
      <w:r w:rsidRPr="00C10A99">
        <w:t xml:space="preserve">2021/22 period, in February 2020 and 2022. The Ministry is budgeting for an $80,000 contribution towards the costs of </w:t>
      </w:r>
      <w:r>
        <w:t>each</w:t>
      </w:r>
      <w:r w:rsidRPr="00C10A99">
        <w:t xml:space="preserve"> conference and think</w:t>
      </w:r>
      <w:r>
        <w:t xml:space="preserve"> </w:t>
      </w:r>
      <w:r w:rsidRPr="00C10A99">
        <w:t>tank.</w:t>
      </w:r>
    </w:p>
    <w:p w:rsidR="0088150A" w:rsidRDefault="0088150A" w:rsidP="002474C2"/>
    <w:p w:rsidR="0088150A" w:rsidRDefault="0088150A" w:rsidP="002474C2">
      <w:r w:rsidRPr="00C10A99">
        <w:t xml:space="preserve">Holding international conferences </w:t>
      </w:r>
      <w:r>
        <w:t xml:space="preserve">on gambling harm </w:t>
      </w:r>
      <w:r w:rsidRPr="00C10A99">
        <w:t xml:space="preserve">in New Zealand promotes </w:t>
      </w:r>
      <w:r>
        <w:t>the country</w:t>
      </w:r>
      <w:r w:rsidRPr="00C10A99">
        <w:t xml:space="preserve"> as a world leader in preventing and minimising gambling harm</w:t>
      </w:r>
      <w:r>
        <w:t>. It also enables</w:t>
      </w:r>
      <w:r w:rsidRPr="00C10A99">
        <w:t xml:space="preserve"> practitioners, researchers, industry representatives and government officials from around the world to meet and exchange ideas specific to gambling harm.</w:t>
      </w:r>
    </w:p>
    <w:p w:rsidR="0088150A" w:rsidRDefault="0088150A" w:rsidP="002474C2">
      <w:pPr>
        <w:pStyle w:val="Heading2"/>
      </w:pPr>
      <w:bookmarkStart w:id="204" w:name="_Toc229279765"/>
      <w:bookmarkStart w:id="205" w:name="_Toc517090906"/>
      <w:bookmarkStart w:id="206" w:name="_Toc530487412"/>
      <w:bookmarkStart w:id="207" w:name="_Toc9239605"/>
      <w:bookmarkStart w:id="208" w:name="_Toc59414781"/>
      <w:bookmarkEnd w:id="187"/>
      <w:r w:rsidRPr="00C10A99">
        <w:t>Interv</w:t>
      </w:r>
      <w:r w:rsidRPr="00E0156C">
        <w:t>ention services</w:t>
      </w:r>
      <w:bookmarkEnd w:id="204"/>
      <w:bookmarkEnd w:id="205"/>
      <w:bookmarkEnd w:id="206"/>
      <w:bookmarkEnd w:id="207"/>
    </w:p>
    <w:bookmarkEnd w:id="208"/>
    <w:p w:rsidR="0088150A" w:rsidRDefault="0088150A" w:rsidP="002474C2">
      <w:r w:rsidRPr="00E312E8">
        <w:t>The</w:t>
      </w:r>
      <w:r>
        <w:t xml:space="preserve"> Ministry has increased the</w:t>
      </w:r>
      <w:r w:rsidRPr="00E312E8">
        <w:t xml:space="preserve"> indicative budget for the 2019/20</w:t>
      </w:r>
      <w:r>
        <w:t>–</w:t>
      </w:r>
      <w:r w:rsidRPr="00E312E8">
        <w:t xml:space="preserve">2021/22 period from the previous period </w:t>
      </w:r>
      <w:r>
        <w:t xml:space="preserve">to accommodate an increased focus on service development to address persistent gambling harm </w:t>
      </w:r>
      <w:r w:rsidRPr="00E312E8">
        <w:t>(see Table 1</w:t>
      </w:r>
      <w:r>
        <w:t>7</w:t>
      </w:r>
      <w:r w:rsidRPr="00E312E8">
        <w:t xml:space="preserve">). </w:t>
      </w:r>
      <w:r>
        <w:t>Section </w:t>
      </w:r>
      <w:r w:rsidR="003021B1">
        <w:t>3</w:t>
      </w:r>
      <w:r>
        <w:t>.6 describes additional funding for piloting new intervention services.</w:t>
      </w:r>
    </w:p>
    <w:p w:rsidR="0088150A" w:rsidRDefault="0088150A" w:rsidP="002474C2"/>
    <w:p w:rsidR="00A10EC0" w:rsidRDefault="0088150A" w:rsidP="002474C2">
      <w:r>
        <w:t>W</w:t>
      </w:r>
      <w:r w:rsidRPr="00E312E8">
        <w:t>ithin th</w:t>
      </w:r>
      <w:r>
        <w:t xml:space="preserve">is </w:t>
      </w:r>
      <w:r w:rsidRPr="00E312E8">
        <w:t xml:space="preserve">budget, the Ministry intends to explore the potential for more innovative intervention services. </w:t>
      </w:r>
      <w:r>
        <w:t>In particular, it will seek to fund or develop services that are client-centred and enhance the mana of consumers. The Ministry will base new approaches on successful regional or local models, where they exist, and will co-design them with stakeholders, and particularly with consumers.</w:t>
      </w:r>
    </w:p>
    <w:p w:rsidR="0088150A" w:rsidRDefault="0088150A" w:rsidP="002474C2"/>
    <w:p w:rsidR="0088150A" w:rsidRPr="00E312E8" w:rsidRDefault="0088150A" w:rsidP="002474C2">
      <w:r w:rsidRPr="00E312E8">
        <w:t>Indicative priority areas for 2019/20 to 2021/22 are</w:t>
      </w:r>
      <w:r>
        <w:t xml:space="preserve"> to:</w:t>
      </w:r>
    </w:p>
    <w:p w:rsidR="0088150A" w:rsidRDefault="0088150A" w:rsidP="002474C2">
      <w:pPr>
        <w:pStyle w:val="Bullet"/>
      </w:pPr>
      <w:r w:rsidRPr="00EC3578">
        <w:t>explore innovative ways to treat the whole person through joined-up gambling, drug, alcohol and mental health services</w:t>
      </w:r>
    </w:p>
    <w:p w:rsidR="0088150A" w:rsidRPr="00EC3578" w:rsidRDefault="0088150A" w:rsidP="002474C2">
      <w:pPr>
        <w:pStyle w:val="Bullet"/>
      </w:pPr>
      <w:r w:rsidRPr="00425B3F">
        <w:t>pilot</w:t>
      </w:r>
      <w:r w:rsidRPr="00EC3578">
        <w:t xml:space="preserve"> and evaluate new service models to address gaps in current service provision</w:t>
      </w:r>
      <w:r>
        <w:t>. The pilots will focus on delivering both public health and intervention services across regions (particularly rural regions) and responsiveness to Māori</w:t>
      </w:r>
    </w:p>
    <w:p w:rsidR="0088150A" w:rsidRPr="00EC3578" w:rsidRDefault="0088150A" w:rsidP="002474C2">
      <w:pPr>
        <w:pStyle w:val="Bullet"/>
      </w:pPr>
      <w:r>
        <w:t xml:space="preserve">lay the foundations to pilot and introduce residential care and </w:t>
      </w:r>
      <w:r w:rsidRPr="00425B3F">
        <w:t>peer support</w:t>
      </w:r>
      <w:r w:rsidRPr="00EC3578">
        <w:t xml:space="preserve"> into the intervention service mix in the medium term</w:t>
      </w:r>
    </w:p>
    <w:p w:rsidR="0088150A" w:rsidRDefault="0088150A" w:rsidP="002474C2">
      <w:pPr>
        <w:pStyle w:val="Bullet"/>
      </w:pPr>
      <w:r>
        <w:t>develop the range of online self-help available</w:t>
      </w:r>
    </w:p>
    <w:p w:rsidR="0088150A" w:rsidRPr="00EC3578" w:rsidRDefault="0088150A" w:rsidP="002474C2">
      <w:pPr>
        <w:pStyle w:val="Bullet"/>
      </w:pPr>
      <w:r w:rsidRPr="00EC3578">
        <w:t>deliver services that are responsive to the needs of different population groups</w:t>
      </w:r>
      <w:r>
        <w:t>;</w:t>
      </w:r>
      <w:r w:rsidRPr="00EC3578">
        <w:t xml:space="preserve"> in particular, those groups where there is strong evidence of </w:t>
      </w:r>
      <w:r w:rsidRPr="00425B3F">
        <w:t>inequality and inequity</w:t>
      </w:r>
      <w:r w:rsidRPr="00EC3578">
        <w:t xml:space="preserve"> in gambling harm</w:t>
      </w:r>
      <w:r>
        <w:t>.</w:t>
      </w:r>
    </w:p>
    <w:p w:rsidR="0088150A" w:rsidRDefault="0088150A" w:rsidP="002474C2">
      <w:bookmarkStart w:id="209" w:name="_Toc514838702"/>
      <w:bookmarkStart w:id="210" w:name="_Toc517091241"/>
    </w:p>
    <w:p w:rsidR="0088150A" w:rsidRPr="00BC3003" w:rsidRDefault="0088150A" w:rsidP="005A26D2">
      <w:pPr>
        <w:pStyle w:val="Table"/>
      </w:pPr>
      <w:bookmarkStart w:id="211" w:name="_Toc530487439"/>
      <w:bookmarkStart w:id="212" w:name="_Toc4156635"/>
      <w:bookmarkStart w:id="213" w:name="_Toc8398935"/>
      <w:r w:rsidRPr="00BC3003">
        <w:lastRenderedPageBreak/>
        <w:t xml:space="preserve">Table </w:t>
      </w:r>
      <w:r w:rsidR="00762F08">
        <w:rPr>
          <w:noProof/>
        </w:rPr>
        <w:fldChar w:fldCharType="begin"/>
      </w:r>
      <w:r w:rsidR="00762F08">
        <w:rPr>
          <w:noProof/>
        </w:rPr>
        <w:instrText xml:space="preserve"> SEQ Table \* ARABIC </w:instrText>
      </w:r>
      <w:r w:rsidR="00762F08">
        <w:rPr>
          <w:noProof/>
        </w:rPr>
        <w:fldChar w:fldCharType="separate"/>
      </w:r>
      <w:r w:rsidR="0002049A">
        <w:rPr>
          <w:noProof/>
        </w:rPr>
        <w:t>17</w:t>
      </w:r>
      <w:r w:rsidR="00762F08">
        <w:rPr>
          <w:noProof/>
        </w:rPr>
        <w:fldChar w:fldCharType="end"/>
      </w:r>
      <w:r w:rsidRPr="00BC3003">
        <w:t xml:space="preserve">: Intervention </w:t>
      </w:r>
      <w:r w:rsidR="00222302">
        <w:t xml:space="preserve">services </w:t>
      </w:r>
      <w:r w:rsidRPr="00BC3003">
        <w:t>budget (GST</w:t>
      </w:r>
      <w:r w:rsidR="00133362">
        <w:t xml:space="preserve"> </w:t>
      </w:r>
      <w:r w:rsidRPr="00BC3003">
        <w:t>exclusive), by service area,</w:t>
      </w:r>
      <w:r w:rsidR="00151F15">
        <w:t xml:space="preserve"> </w:t>
      </w:r>
      <w:r w:rsidRPr="00BC3003">
        <w:t>2019/20</w:t>
      </w:r>
      <w:r>
        <w:t>–</w:t>
      </w:r>
      <w:r w:rsidRPr="00BC3003">
        <w:t>2021/22</w:t>
      </w:r>
      <w:bookmarkEnd w:id="209"/>
      <w:bookmarkEnd w:id="210"/>
      <w:bookmarkEnd w:id="211"/>
      <w:bookmarkEnd w:id="212"/>
      <w:bookmarkEnd w:id="213"/>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3686"/>
        <w:gridCol w:w="1098"/>
        <w:gridCol w:w="1099"/>
        <w:gridCol w:w="1098"/>
        <w:gridCol w:w="1099"/>
      </w:tblGrid>
      <w:tr w:rsidR="0088150A" w:rsidRPr="002474C2" w:rsidTr="007A2C74">
        <w:trPr>
          <w:cantSplit/>
        </w:trPr>
        <w:tc>
          <w:tcPr>
            <w:tcW w:w="3686" w:type="dxa"/>
            <w:tcBorders>
              <w:top w:val="nil"/>
              <w:bottom w:val="nil"/>
            </w:tcBorders>
            <w:shd w:val="clear" w:color="auto" w:fill="D9D9D9" w:themeFill="background1" w:themeFillShade="D9"/>
            <w:noWrap/>
          </w:tcPr>
          <w:p w:rsidR="0088150A" w:rsidRPr="00E93A4A" w:rsidRDefault="0088150A" w:rsidP="002474C2">
            <w:pPr>
              <w:pStyle w:val="TableText"/>
              <w:keepNext/>
              <w:spacing w:before="50" w:after="50"/>
              <w:rPr>
                <w:b/>
              </w:rPr>
            </w:pPr>
            <w:r w:rsidRPr="00E93A4A">
              <w:rPr>
                <w:b/>
              </w:rPr>
              <w:t>Service area</w:t>
            </w:r>
          </w:p>
        </w:tc>
        <w:tc>
          <w:tcPr>
            <w:tcW w:w="1098" w:type="dxa"/>
            <w:tcBorders>
              <w:top w:val="nil"/>
              <w:bottom w:val="nil"/>
            </w:tcBorders>
            <w:shd w:val="clear" w:color="auto" w:fill="D9D9D9" w:themeFill="background1" w:themeFillShade="D9"/>
            <w:noWrap/>
          </w:tcPr>
          <w:p w:rsidR="0088150A" w:rsidRPr="00E93A4A" w:rsidRDefault="0088150A" w:rsidP="002474C2">
            <w:pPr>
              <w:pStyle w:val="TableText"/>
              <w:keepNext/>
              <w:spacing w:before="50" w:after="50"/>
              <w:jc w:val="center"/>
              <w:rPr>
                <w:b/>
              </w:rPr>
            </w:pPr>
            <w:r w:rsidRPr="00E93A4A">
              <w:rPr>
                <w:b/>
              </w:rPr>
              <w:t>2019/20</w:t>
            </w:r>
            <w:r w:rsidRPr="00E93A4A">
              <w:rPr>
                <w:b/>
              </w:rPr>
              <w:br/>
              <w:t>($m)</w:t>
            </w:r>
          </w:p>
        </w:tc>
        <w:tc>
          <w:tcPr>
            <w:tcW w:w="1099" w:type="dxa"/>
            <w:tcBorders>
              <w:top w:val="nil"/>
              <w:bottom w:val="nil"/>
            </w:tcBorders>
            <w:shd w:val="clear" w:color="auto" w:fill="D9D9D9" w:themeFill="background1" w:themeFillShade="D9"/>
            <w:noWrap/>
          </w:tcPr>
          <w:p w:rsidR="0088150A" w:rsidRPr="00E93A4A" w:rsidRDefault="0088150A" w:rsidP="002474C2">
            <w:pPr>
              <w:pStyle w:val="TableText"/>
              <w:keepNext/>
              <w:spacing w:before="50" w:after="50"/>
              <w:jc w:val="center"/>
              <w:rPr>
                <w:b/>
              </w:rPr>
            </w:pPr>
            <w:r w:rsidRPr="00E93A4A">
              <w:rPr>
                <w:b/>
              </w:rPr>
              <w:t>2020/21</w:t>
            </w:r>
            <w:r w:rsidRPr="00E93A4A">
              <w:rPr>
                <w:b/>
              </w:rPr>
              <w:br/>
              <w:t>($m)</w:t>
            </w:r>
          </w:p>
        </w:tc>
        <w:tc>
          <w:tcPr>
            <w:tcW w:w="1098" w:type="dxa"/>
            <w:tcBorders>
              <w:top w:val="nil"/>
              <w:bottom w:val="nil"/>
            </w:tcBorders>
            <w:shd w:val="clear" w:color="auto" w:fill="D9D9D9" w:themeFill="background1" w:themeFillShade="D9"/>
            <w:noWrap/>
          </w:tcPr>
          <w:p w:rsidR="0088150A" w:rsidRPr="00E93A4A" w:rsidRDefault="0088150A" w:rsidP="002474C2">
            <w:pPr>
              <w:pStyle w:val="TableText"/>
              <w:keepNext/>
              <w:spacing w:before="50" w:after="50"/>
              <w:jc w:val="center"/>
              <w:rPr>
                <w:b/>
              </w:rPr>
            </w:pPr>
            <w:r w:rsidRPr="00E93A4A">
              <w:rPr>
                <w:b/>
              </w:rPr>
              <w:t>2021/22</w:t>
            </w:r>
            <w:r w:rsidRPr="00E93A4A">
              <w:rPr>
                <w:b/>
              </w:rPr>
              <w:br/>
              <w:t>($m)</w:t>
            </w:r>
          </w:p>
        </w:tc>
        <w:tc>
          <w:tcPr>
            <w:tcW w:w="1099" w:type="dxa"/>
            <w:tcBorders>
              <w:top w:val="nil"/>
              <w:bottom w:val="nil"/>
            </w:tcBorders>
            <w:shd w:val="clear" w:color="auto" w:fill="D9D9D9" w:themeFill="background1" w:themeFillShade="D9"/>
          </w:tcPr>
          <w:p w:rsidR="0088150A" w:rsidRPr="00E93A4A" w:rsidRDefault="0088150A" w:rsidP="002474C2">
            <w:pPr>
              <w:pStyle w:val="TableText"/>
              <w:keepNext/>
              <w:spacing w:before="50" w:after="50"/>
              <w:jc w:val="center"/>
              <w:rPr>
                <w:b/>
              </w:rPr>
            </w:pPr>
            <w:r w:rsidRPr="00E93A4A">
              <w:rPr>
                <w:b/>
              </w:rPr>
              <w:t>Total</w:t>
            </w:r>
            <w:r w:rsidRPr="00E93A4A">
              <w:rPr>
                <w:b/>
              </w:rPr>
              <w:br/>
              <w:t>($m)</w:t>
            </w:r>
          </w:p>
        </w:tc>
      </w:tr>
      <w:tr w:rsidR="00527954" w:rsidRPr="008E3950" w:rsidTr="007A2C74">
        <w:trPr>
          <w:cantSplit/>
        </w:trPr>
        <w:tc>
          <w:tcPr>
            <w:tcW w:w="3686" w:type="dxa"/>
            <w:tcBorders>
              <w:top w:val="nil"/>
              <w:bottom w:val="single" w:sz="2" w:space="0" w:color="A6A6A6" w:themeColor="background1" w:themeShade="A6"/>
            </w:tcBorders>
            <w:shd w:val="clear" w:color="auto" w:fill="auto"/>
            <w:noWrap/>
          </w:tcPr>
          <w:p w:rsidR="00527954" w:rsidRPr="00EF5446" w:rsidRDefault="00527954" w:rsidP="00527954">
            <w:pPr>
              <w:pStyle w:val="TableText"/>
              <w:keepNext/>
              <w:spacing w:before="50" w:after="50"/>
            </w:pPr>
            <w:r w:rsidRPr="00EF5446">
              <w:t>Helpline and web-based services</w:t>
            </w:r>
          </w:p>
        </w:tc>
        <w:tc>
          <w:tcPr>
            <w:tcW w:w="1098" w:type="dxa"/>
            <w:tcBorders>
              <w:top w:val="nil"/>
              <w:left w:val="nil"/>
              <w:bottom w:val="single" w:sz="2" w:space="0" w:color="A6A6A6" w:themeColor="background1" w:themeShade="A6"/>
              <w:right w:val="nil"/>
            </w:tcBorders>
            <w:shd w:val="clear" w:color="auto" w:fill="FFFFFF" w:themeFill="background1"/>
            <w:noWrap/>
            <w:vAlign w:val="center"/>
          </w:tcPr>
          <w:p w:rsidR="00527954" w:rsidRPr="00330344" w:rsidRDefault="00527954" w:rsidP="00527954">
            <w:pPr>
              <w:pStyle w:val="TableText"/>
              <w:keepNext/>
              <w:spacing w:before="50" w:after="50"/>
              <w:jc w:val="center"/>
            </w:pPr>
            <w:r w:rsidRPr="00E93A4A">
              <w:t>1.100</w:t>
            </w:r>
          </w:p>
        </w:tc>
        <w:tc>
          <w:tcPr>
            <w:tcW w:w="1099" w:type="dxa"/>
            <w:tcBorders>
              <w:top w:val="nil"/>
              <w:left w:val="nil"/>
              <w:bottom w:val="single" w:sz="2" w:space="0" w:color="A6A6A6" w:themeColor="background1" w:themeShade="A6"/>
              <w:right w:val="nil"/>
            </w:tcBorders>
            <w:shd w:val="clear" w:color="auto" w:fill="FFFFFF" w:themeFill="background1"/>
            <w:noWrap/>
            <w:vAlign w:val="center"/>
          </w:tcPr>
          <w:p w:rsidR="00527954" w:rsidRPr="00330344" w:rsidRDefault="00527954" w:rsidP="001728B6">
            <w:pPr>
              <w:pStyle w:val="TableText"/>
              <w:keepNext/>
              <w:spacing w:before="50" w:after="50"/>
              <w:jc w:val="center"/>
            </w:pPr>
            <w:r w:rsidRPr="00E93A4A">
              <w:t>1.100</w:t>
            </w:r>
          </w:p>
        </w:tc>
        <w:tc>
          <w:tcPr>
            <w:tcW w:w="1098" w:type="dxa"/>
            <w:tcBorders>
              <w:top w:val="nil"/>
              <w:left w:val="nil"/>
              <w:bottom w:val="single" w:sz="2" w:space="0" w:color="A6A6A6" w:themeColor="background1" w:themeShade="A6"/>
              <w:right w:val="nil"/>
            </w:tcBorders>
            <w:shd w:val="clear" w:color="auto" w:fill="FFFFFF" w:themeFill="background1"/>
            <w:noWrap/>
            <w:vAlign w:val="center"/>
          </w:tcPr>
          <w:p w:rsidR="00527954" w:rsidRPr="00330344" w:rsidRDefault="00527954" w:rsidP="001728B6">
            <w:pPr>
              <w:pStyle w:val="TableText"/>
              <w:keepNext/>
              <w:spacing w:before="50" w:after="50"/>
              <w:jc w:val="center"/>
            </w:pPr>
            <w:r w:rsidRPr="00E93A4A">
              <w:t>1.100</w:t>
            </w:r>
          </w:p>
        </w:tc>
        <w:tc>
          <w:tcPr>
            <w:tcW w:w="1099" w:type="dxa"/>
            <w:tcBorders>
              <w:top w:val="nil"/>
              <w:left w:val="nil"/>
              <w:bottom w:val="single" w:sz="2" w:space="0" w:color="A6A6A6" w:themeColor="background1" w:themeShade="A6"/>
              <w:right w:val="nil"/>
            </w:tcBorders>
            <w:shd w:val="clear" w:color="auto" w:fill="auto"/>
            <w:vAlign w:val="center"/>
          </w:tcPr>
          <w:p w:rsidR="00527954" w:rsidRPr="00330344" w:rsidRDefault="00527954" w:rsidP="00527954">
            <w:pPr>
              <w:pStyle w:val="TableText"/>
              <w:keepNext/>
              <w:tabs>
                <w:tab w:val="decimal" w:pos="411"/>
              </w:tabs>
              <w:spacing w:before="50" w:after="50"/>
            </w:pPr>
            <w:r w:rsidRPr="00E93A4A">
              <w:t>3.300</w:t>
            </w:r>
          </w:p>
        </w:tc>
      </w:tr>
      <w:tr w:rsidR="00527954" w:rsidRPr="008E3950" w:rsidTr="007A2C74">
        <w:trPr>
          <w:cantSplit/>
        </w:trPr>
        <w:tc>
          <w:tcPr>
            <w:tcW w:w="3686" w:type="dxa"/>
            <w:tcBorders>
              <w:top w:val="single" w:sz="2" w:space="0" w:color="A6A6A6" w:themeColor="background1" w:themeShade="A6"/>
              <w:bottom w:val="single" w:sz="2" w:space="0" w:color="A6A6A6" w:themeColor="background1" w:themeShade="A6"/>
            </w:tcBorders>
            <w:shd w:val="clear" w:color="auto" w:fill="auto"/>
            <w:noWrap/>
          </w:tcPr>
          <w:p w:rsidR="00527954" w:rsidRPr="00EF5446" w:rsidRDefault="00527954" w:rsidP="00527954">
            <w:pPr>
              <w:pStyle w:val="TableText"/>
              <w:keepNext/>
              <w:spacing w:before="50" w:after="50"/>
            </w:pPr>
            <w:r w:rsidRPr="00EF5446">
              <w:t>Psychosocial interventions and support</w:t>
            </w:r>
          </w:p>
        </w:tc>
        <w:tc>
          <w:tcPr>
            <w:tcW w:w="1098" w:type="dxa"/>
            <w:tcBorders>
              <w:top w:val="single" w:sz="2" w:space="0" w:color="A6A6A6" w:themeColor="background1" w:themeShade="A6"/>
              <w:left w:val="nil"/>
              <w:bottom w:val="single" w:sz="2" w:space="0" w:color="A6A6A6" w:themeColor="background1" w:themeShade="A6"/>
              <w:right w:val="nil"/>
            </w:tcBorders>
            <w:shd w:val="clear" w:color="auto" w:fill="auto"/>
            <w:noWrap/>
            <w:vAlign w:val="center"/>
          </w:tcPr>
          <w:p w:rsidR="00527954" w:rsidRPr="00330344" w:rsidRDefault="00527954" w:rsidP="00527954">
            <w:pPr>
              <w:pStyle w:val="TableText"/>
              <w:keepNext/>
              <w:spacing w:before="50" w:after="50"/>
              <w:jc w:val="center"/>
            </w:pPr>
            <w:r w:rsidRPr="00E93A4A">
              <w:t>7.098</w:t>
            </w:r>
          </w:p>
        </w:tc>
        <w:tc>
          <w:tcPr>
            <w:tcW w:w="1099" w:type="dxa"/>
            <w:tcBorders>
              <w:top w:val="single" w:sz="2" w:space="0" w:color="A6A6A6" w:themeColor="background1" w:themeShade="A6"/>
              <w:left w:val="nil"/>
              <w:bottom w:val="single" w:sz="2" w:space="0" w:color="A6A6A6" w:themeColor="background1" w:themeShade="A6"/>
              <w:right w:val="nil"/>
            </w:tcBorders>
            <w:shd w:val="clear" w:color="auto" w:fill="auto"/>
            <w:noWrap/>
            <w:vAlign w:val="center"/>
          </w:tcPr>
          <w:p w:rsidR="00527954" w:rsidRPr="00330344" w:rsidRDefault="00527954" w:rsidP="001728B6">
            <w:pPr>
              <w:pStyle w:val="TableText"/>
              <w:keepNext/>
              <w:spacing w:before="50" w:after="50"/>
              <w:jc w:val="center"/>
            </w:pPr>
            <w:r w:rsidRPr="00E93A4A">
              <w:t>7.100</w:t>
            </w:r>
          </w:p>
        </w:tc>
        <w:tc>
          <w:tcPr>
            <w:tcW w:w="1098" w:type="dxa"/>
            <w:tcBorders>
              <w:top w:val="single" w:sz="2" w:space="0" w:color="A6A6A6" w:themeColor="background1" w:themeShade="A6"/>
              <w:left w:val="nil"/>
              <w:bottom w:val="single" w:sz="2" w:space="0" w:color="A6A6A6" w:themeColor="background1" w:themeShade="A6"/>
              <w:right w:val="nil"/>
            </w:tcBorders>
            <w:shd w:val="clear" w:color="auto" w:fill="auto"/>
            <w:noWrap/>
            <w:vAlign w:val="center"/>
          </w:tcPr>
          <w:p w:rsidR="00527954" w:rsidRPr="00330344" w:rsidRDefault="00527954" w:rsidP="001728B6">
            <w:pPr>
              <w:pStyle w:val="TableText"/>
              <w:keepNext/>
              <w:spacing w:before="50" w:after="50"/>
              <w:jc w:val="center"/>
            </w:pPr>
            <w:r w:rsidRPr="00E93A4A">
              <w:t>7.100</w:t>
            </w:r>
          </w:p>
        </w:tc>
        <w:tc>
          <w:tcPr>
            <w:tcW w:w="1099" w:type="dxa"/>
            <w:tcBorders>
              <w:top w:val="single" w:sz="2" w:space="0" w:color="A6A6A6" w:themeColor="background1" w:themeShade="A6"/>
              <w:left w:val="nil"/>
              <w:bottom w:val="single" w:sz="2" w:space="0" w:color="A6A6A6" w:themeColor="background1" w:themeShade="A6"/>
              <w:right w:val="nil"/>
            </w:tcBorders>
            <w:shd w:val="clear" w:color="auto" w:fill="auto"/>
            <w:vAlign w:val="center"/>
          </w:tcPr>
          <w:p w:rsidR="00527954" w:rsidRPr="00330344" w:rsidRDefault="00527954" w:rsidP="00527954">
            <w:pPr>
              <w:pStyle w:val="TableText"/>
              <w:keepNext/>
              <w:tabs>
                <w:tab w:val="decimal" w:pos="411"/>
              </w:tabs>
              <w:spacing w:before="50" w:after="50"/>
            </w:pPr>
            <w:r w:rsidRPr="00E93A4A">
              <w:t>21.298</w:t>
            </w:r>
          </w:p>
        </w:tc>
      </w:tr>
      <w:tr w:rsidR="00527954" w:rsidRPr="008E3950" w:rsidTr="007A2C74">
        <w:trPr>
          <w:cantSplit/>
        </w:trPr>
        <w:tc>
          <w:tcPr>
            <w:tcW w:w="3686" w:type="dxa"/>
            <w:tcBorders>
              <w:top w:val="single" w:sz="2" w:space="0" w:color="A6A6A6" w:themeColor="background1" w:themeShade="A6"/>
              <w:bottom w:val="single" w:sz="2" w:space="0" w:color="A6A6A6" w:themeColor="background1" w:themeShade="A6"/>
            </w:tcBorders>
            <w:shd w:val="clear" w:color="auto" w:fill="auto"/>
            <w:noWrap/>
          </w:tcPr>
          <w:p w:rsidR="00527954" w:rsidRPr="00EF5446" w:rsidRDefault="00527954" w:rsidP="00527954">
            <w:pPr>
              <w:pStyle w:val="TableText"/>
              <w:keepNext/>
              <w:spacing w:before="50" w:after="50"/>
            </w:pPr>
            <w:r w:rsidRPr="00EF5446">
              <w:t>Data collection and reporting</w:t>
            </w:r>
          </w:p>
        </w:tc>
        <w:tc>
          <w:tcPr>
            <w:tcW w:w="1098" w:type="dxa"/>
            <w:tcBorders>
              <w:top w:val="single" w:sz="2" w:space="0" w:color="A6A6A6" w:themeColor="background1" w:themeShade="A6"/>
              <w:left w:val="nil"/>
              <w:bottom w:val="single" w:sz="2" w:space="0" w:color="A6A6A6" w:themeColor="background1" w:themeShade="A6"/>
              <w:right w:val="nil"/>
            </w:tcBorders>
            <w:shd w:val="clear" w:color="auto" w:fill="auto"/>
            <w:noWrap/>
            <w:vAlign w:val="center"/>
          </w:tcPr>
          <w:p w:rsidR="00527954" w:rsidRPr="00330344" w:rsidRDefault="00527954" w:rsidP="00527954">
            <w:pPr>
              <w:pStyle w:val="TableText"/>
              <w:keepNext/>
              <w:spacing w:before="50" w:after="50"/>
              <w:jc w:val="center"/>
            </w:pPr>
            <w:r w:rsidRPr="00E93A4A">
              <w:t>0.015</w:t>
            </w:r>
          </w:p>
        </w:tc>
        <w:tc>
          <w:tcPr>
            <w:tcW w:w="1099" w:type="dxa"/>
            <w:tcBorders>
              <w:top w:val="single" w:sz="2" w:space="0" w:color="A6A6A6" w:themeColor="background1" w:themeShade="A6"/>
              <w:left w:val="nil"/>
              <w:bottom w:val="single" w:sz="2" w:space="0" w:color="A6A6A6" w:themeColor="background1" w:themeShade="A6"/>
              <w:right w:val="nil"/>
            </w:tcBorders>
            <w:shd w:val="clear" w:color="auto" w:fill="auto"/>
            <w:noWrap/>
            <w:vAlign w:val="center"/>
          </w:tcPr>
          <w:p w:rsidR="00527954" w:rsidRPr="00330344" w:rsidRDefault="00527954" w:rsidP="00527954">
            <w:pPr>
              <w:pStyle w:val="TableText"/>
              <w:keepNext/>
              <w:spacing w:before="50" w:after="50"/>
              <w:jc w:val="center"/>
            </w:pPr>
            <w:r w:rsidRPr="00E93A4A">
              <w:t>0.015</w:t>
            </w:r>
          </w:p>
        </w:tc>
        <w:tc>
          <w:tcPr>
            <w:tcW w:w="1098" w:type="dxa"/>
            <w:tcBorders>
              <w:top w:val="single" w:sz="2" w:space="0" w:color="A6A6A6" w:themeColor="background1" w:themeShade="A6"/>
              <w:left w:val="nil"/>
              <w:bottom w:val="single" w:sz="2" w:space="0" w:color="A6A6A6" w:themeColor="background1" w:themeShade="A6"/>
              <w:right w:val="nil"/>
            </w:tcBorders>
            <w:shd w:val="clear" w:color="auto" w:fill="auto"/>
            <w:noWrap/>
            <w:vAlign w:val="center"/>
          </w:tcPr>
          <w:p w:rsidR="00527954" w:rsidRPr="00330344" w:rsidRDefault="00527954" w:rsidP="00527954">
            <w:pPr>
              <w:pStyle w:val="TableText"/>
              <w:keepNext/>
              <w:spacing w:before="50" w:after="50"/>
              <w:jc w:val="center"/>
            </w:pPr>
            <w:r w:rsidRPr="00E93A4A">
              <w:t>0.015</w:t>
            </w:r>
          </w:p>
        </w:tc>
        <w:tc>
          <w:tcPr>
            <w:tcW w:w="1099" w:type="dxa"/>
            <w:tcBorders>
              <w:top w:val="single" w:sz="2" w:space="0" w:color="A6A6A6" w:themeColor="background1" w:themeShade="A6"/>
              <w:left w:val="nil"/>
              <w:bottom w:val="single" w:sz="2" w:space="0" w:color="A6A6A6" w:themeColor="background1" w:themeShade="A6"/>
              <w:right w:val="nil"/>
            </w:tcBorders>
            <w:shd w:val="clear" w:color="auto" w:fill="auto"/>
            <w:vAlign w:val="center"/>
          </w:tcPr>
          <w:p w:rsidR="00527954" w:rsidRPr="00330344" w:rsidRDefault="00527954" w:rsidP="00527954">
            <w:pPr>
              <w:pStyle w:val="TableText"/>
              <w:keepNext/>
              <w:tabs>
                <w:tab w:val="decimal" w:pos="411"/>
              </w:tabs>
              <w:spacing w:before="50" w:after="50"/>
            </w:pPr>
            <w:r w:rsidRPr="00E93A4A">
              <w:t>0.045</w:t>
            </w:r>
          </w:p>
        </w:tc>
      </w:tr>
      <w:tr w:rsidR="00527954" w:rsidRPr="008E3950" w:rsidTr="007A2C74">
        <w:trPr>
          <w:cantSplit/>
        </w:trPr>
        <w:tc>
          <w:tcPr>
            <w:tcW w:w="3686" w:type="dxa"/>
            <w:tcBorders>
              <w:top w:val="single" w:sz="2" w:space="0" w:color="A6A6A6" w:themeColor="background1" w:themeShade="A6"/>
              <w:bottom w:val="single" w:sz="2" w:space="0" w:color="A6A6A6" w:themeColor="background1" w:themeShade="A6"/>
            </w:tcBorders>
            <w:shd w:val="clear" w:color="auto" w:fill="auto"/>
            <w:noWrap/>
          </w:tcPr>
          <w:p w:rsidR="00527954" w:rsidRPr="00EF5446" w:rsidRDefault="00527954" w:rsidP="00E93A4A">
            <w:pPr>
              <w:pStyle w:val="TableText"/>
              <w:keepNext/>
              <w:spacing w:before="50" w:after="50"/>
            </w:pPr>
            <w:r w:rsidRPr="00EF5446">
              <w:t>Workforce development (intervention)</w:t>
            </w:r>
          </w:p>
        </w:tc>
        <w:tc>
          <w:tcPr>
            <w:tcW w:w="1098" w:type="dxa"/>
            <w:tcBorders>
              <w:top w:val="single" w:sz="2" w:space="0" w:color="A6A6A6" w:themeColor="background1" w:themeShade="A6"/>
              <w:left w:val="nil"/>
              <w:bottom w:val="single" w:sz="2" w:space="0" w:color="A6A6A6" w:themeColor="background1" w:themeShade="A6"/>
              <w:right w:val="nil"/>
            </w:tcBorders>
            <w:shd w:val="clear" w:color="auto" w:fill="auto"/>
            <w:noWrap/>
            <w:vAlign w:val="center"/>
          </w:tcPr>
          <w:p w:rsidR="00527954" w:rsidRPr="00330344" w:rsidRDefault="00527954" w:rsidP="00E93A4A">
            <w:pPr>
              <w:pStyle w:val="TableText"/>
              <w:keepNext/>
              <w:spacing w:before="50" w:after="50"/>
              <w:jc w:val="center"/>
            </w:pPr>
            <w:r w:rsidRPr="00E93A4A">
              <w:t>0.200</w:t>
            </w:r>
          </w:p>
        </w:tc>
        <w:tc>
          <w:tcPr>
            <w:tcW w:w="1099" w:type="dxa"/>
            <w:tcBorders>
              <w:top w:val="single" w:sz="2" w:space="0" w:color="A6A6A6" w:themeColor="background1" w:themeShade="A6"/>
              <w:left w:val="nil"/>
              <w:bottom w:val="single" w:sz="2" w:space="0" w:color="A6A6A6" w:themeColor="background1" w:themeShade="A6"/>
              <w:right w:val="nil"/>
            </w:tcBorders>
            <w:shd w:val="clear" w:color="auto" w:fill="auto"/>
            <w:noWrap/>
            <w:vAlign w:val="center"/>
          </w:tcPr>
          <w:p w:rsidR="00527954" w:rsidRPr="00330344" w:rsidRDefault="00527954" w:rsidP="00E93A4A">
            <w:pPr>
              <w:pStyle w:val="TableText"/>
              <w:keepNext/>
              <w:spacing w:before="50" w:after="50"/>
              <w:jc w:val="center"/>
            </w:pPr>
            <w:r w:rsidRPr="00E93A4A">
              <w:t>0.200</w:t>
            </w:r>
          </w:p>
        </w:tc>
        <w:tc>
          <w:tcPr>
            <w:tcW w:w="1098" w:type="dxa"/>
            <w:tcBorders>
              <w:top w:val="single" w:sz="2" w:space="0" w:color="A6A6A6" w:themeColor="background1" w:themeShade="A6"/>
              <w:left w:val="nil"/>
              <w:bottom w:val="single" w:sz="2" w:space="0" w:color="A6A6A6" w:themeColor="background1" w:themeShade="A6"/>
              <w:right w:val="nil"/>
            </w:tcBorders>
            <w:shd w:val="clear" w:color="auto" w:fill="auto"/>
            <w:noWrap/>
            <w:vAlign w:val="center"/>
          </w:tcPr>
          <w:p w:rsidR="00527954" w:rsidRPr="00330344" w:rsidRDefault="00527954" w:rsidP="00E93A4A">
            <w:pPr>
              <w:pStyle w:val="TableText"/>
              <w:keepNext/>
              <w:spacing w:before="50" w:after="50"/>
              <w:jc w:val="center"/>
            </w:pPr>
            <w:r w:rsidRPr="00E93A4A">
              <w:t>0.200</w:t>
            </w:r>
          </w:p>
        </w:tc>
        <w:tc>
          <w:tcPr>
            <w:tcW w:w="1099" w:type="dxa"/>
            <w:tcBorders>
              <w:top w:val="single" w:sz="2" w:space="0" w:color="A6A6A6" w:themeColor="background1" w:themeShade="A6"/>
              <w:left w:val="nil"/>
              <w:bottom w:val="single" w:sz="2" w:space="0" w:color="A6A6A6" w:themeColor="background1" w:themeShade="A6"/>
              <w:right w:val="nil"/>
            </w:tcBorders>
            <w:shd w:val="clear" w:color="auto" w:fill="auto"/>
            <w:vAlign w:val="center"/>
          </w:tcPr>
          <w:p w:rsidR="00527954" w:rsidRPr="00330344" w:rsidRDefault="00527954" w:rsidP="00E93A4A">
            <w:pPr>
              <w:pStyle w:val="TableText"/>
              <w:keepNext/>
              <w:tabs>
                <w:tab w:val="decimal" w:pos="411"/>
              </w:tabs>
              <w:spacing w:before="50" w:after="50"/>
            </w:pPr>
            <w:r w:rsidRPr="00E93A4A">
              <w:t>0.600</w:t>
            </w:r>
          </w:p>
        </w:tc>
      </w:tr>
      <w:tr w:rsidR="00527954" w:rsidRPr="002474C2" w:rsidTr="007A2C74">
        <w:trPr>
          <w:cantSplit/>
        </w:trPr>
        <w:tc>
          <w:tcPr>
            <w:tcW w:w="3686" w:type="dxa"/>
            <w:tcBorders>
              <w:top w:val="single" w:sz="2" w:space="0" w:color="A6A6A6" w:themeColor="background1" w:themeShade="A6"/>
              <w:bottom w:val="single" w:sz="4" w:space="0" w:color="A6A6A6" w:themeColor="background1" w:themeShade="A6"/>
            </w:tcBorders>
            <w:shd w:val="clear" w:color="auto" w:fill="auto"/>
            <w:noWrap/>
          </w:tcPr>
          <w:p w:rsidR="00527954" w:rsidRPr="001728B6" w:rsidRDefault="00527954" w:rsidP="00E93A4A">
            <w:pPr>
              <w:pStyle w:val="TableText"/>
              <w:keepNext/>
              <w:spacing w:before="50" w:after="50"/>
              <w:rPr>
                <w:b/>
              </w:rPr>
            </w:pPr>
            <w:r w:rsidRPr="001728B6">
              <w:rPr>
                <w:b/>
              </w:rPr>
              <w:t>Total ($m)</w:t>
            </w:r>
          </w:p>
        </w:tc>
        <w:tc>
          <w:tcPr>
            <w:tcW w:w="1098" w:type="dxa"/>
            <w:tcBorders>
              <w:top w:val="single" w:sz="2" w:space="0" w:color="A6A6A6" w:themeColor="background1" w:themeShade="A6"/>
              <w:left w:val="nil"/>
              <w:bottom w:val="single" w:sz="4" w:space="0" w:color="A6A6A6" w:themeColor="background1" w:themeShade="A6"/>
              <w:right w:val="nil"/>
            </w:tcBorders>
            <w:shd w:val="clear" w:color="auto" w:fill="auto"/>
            <w:noWrap/>
            <w:vAlign w:val="center"/>
          </w:tcPr>
          <w:p w:rsidR="00527954" w:rsidRPr="001728B6" w:rsidRDefault="00527954" w:rsidP="00E93A4A">
            <w:pPr>
              <w:pStyle w:val="TableText"/>
              <w:keepNext/>
              <w:spacing w:before="50" w:after="50"/>
              <w:jc w:val="center"/>
              <w:rPr>
                <w:b/>
              </w:rPr>
            </w:pPr>
            <w:r w:rsidRPr="00E93A4A">
              <w:rPr>
                <w:b/>
              </w:rPr>
              <w:t>8.413</w:t>
            </w:r>
          </w:p>
        </w:tc>
        <w:tc>
          <w:tcPr>
            <w:tcW w:w="1099" w:type="dxa"/>
            <w:tcBorders>
              <w:top w:val="single" w:sz="2" w:space="0" w:color="A6A6A6" w:themeColor="background1" w:themeShade="A6"/>
              <w:left w:val="nil"/>
              <w:bottom w:val="single" w:sz="4" w:space="0" w:color="A6A6A6" w:themeColor="background1" w:themeShade="A6"/>
              <w:right w:val="nil"/>
            </w:tcBorders>
            <w:shd w:val="clear" w:color="auto" w:fill="auto"/>
            <w:noWrap/>
            <w:vAlign w:val="center"/>
          </w:tcPr>
          <w:p w:rsidR="00527954" w:rsidRPr="001728B6" w:rsidRDefault="00527954" w:rsidP="00E93A4A">
            <w:pPr>
              <w:pStyle w:val="TableText"/>
              <w:keepNext/>
              <w:spacing w:before="50" w:after="50"/>
              <w:jc w:val="center"/>
              <w:rPr>
                <w:b/>
              </w:rPr>
            </w:pPr>
            <w:r w:rsidRPr="00E93A4A">
              <w:rPr>
                <w:b/>
              </w:rPr>
              <w:t>8.415</w:t>
            </w:r>
          </w:p>
        </w:tc>
        <w:tc>
          <w:tcPr>
            <w:tcW w:w="1098" w:type="dxa"/>
            <w:tcBorders>
              <w:top w:val="single" w:sz="2" w:space="0" w:color="A6A6A6" w:themeColor="background1" w:themeShade="A6"/>
              <w:left w:val="nil"/>
              <w:bottom w:val="single" w:sz="4" w:space="0" w:color="A6A6A6" w:themeColor="background1" w:themeShade="A6"/>
              <w:right w:val="nil"/>
            </w:tcBorders>
            <w:shd w:val="clear" w:color="auto" w:fill="auto"/>
            <w:noWrap/>
            <w:vAlign w:val="center"/>
          </w:tcPr>
          <w:p w:rsidR="00527954" w:rsidRPr="001728B6" w:rsidRDefault="00527954" w:rsidP="00E93A4A">
            <w:pPr>
              <w:pStyle w:val="TableText"/>
              <w:keepNext/>
              <w:spacing w:before="50" w:after="50"/>
              <w:jc w:val="center"/>
              <w:rPr>
                <w:b/>
              </w:rPr>
            </w:pPr>
            <w:r w:rsidRPr="00E93A4A">
              <w:rPr>
                <w:b/>
              </w:rPr>
              <w:t>8.415</w:t>
            </w:r>
          </w:p>
        </w:tc>
        <w:tc>
          <w:tcPr>
            <w:tcW w:w="1099" w:type="dxa"/>
            <w:tcBorders>
              <w:top w:val="single" w:sz="2" w:space="0" w:color="A6A6A6" w:themeColor="background1" w:themeShade="A6"/>
              <w:left w:val="nil"/>
              <w:bottom w:val="single" w:sz="4" w:space="0" w:color="A6A6A6" w:themeColor="background1" w:themeShade="A6"/>
              <w:right w:val="nil"/>
            </w:tcBorders>
            <w:shd w:val="clear" w:color="auto" w:fill="auto"/>
            <w:vAlign w:val="center"/>
          </w:tcPr>
          <w:p w:rsidR="00527954" w:rsidRPr="001728B6" w:rsidRDefault="00527954" w:rsidP="00E93A4A">
            <w:pPr>
              <w:pStyle w:val="TableText"/>
              <w:keepNext/>
              <w:tabs>
                <w:tab w:val="decimal" w:pos="411"/>
              </w:tabs>
              <w:spacing w:before="50" w:after="50"/>
              <w:rPr>
                <w:b/>
              </w:rPr>
            </w:pPr>
            <w:r w:rsidRPr="00E93A4A">
              <w:rPr>
                <w:b/>
              </w:rPr>
              <w:t>25.243</w:t>
            </w:r>
          </w:p>
        </w:tc>
      </w:tr>
    </w:tbl>
    <w:p w:rsidR="0088150A" w:rsidRDefault="0088150A" w:rsidP="002474C2">
      <w:pPr>
        <w:pStyle w:val="Note"/>
      </w:pPr>
      <w:r w:rsidRPr="008E3950">
        <w:t>Note: All service areas include provision for dedicated Māori, Pacific and Asian services and activities.</w:t>
      </w:r>
    </w:p>
    <w:p w:rsidR="0088150A" w:rsidRPr="00E312E8" w:rsidRDefault="0088150A" w:rsidP="002474C2">
      <w:pPr>
        <w:pStyle w:val="Heading3"/>
        <w:numPr>
          <w:ilvl w:val="0"/>
          <w:numId w:val="0"/>
        </w:numPr>
      </w:pPr>
      <w:r w:rsidRPr="00E312E8">
        <w:t>Helpline and web-based services</w:t>
      </w:r>
    </w:p>
    <w:p w:rsidR="0088150A" w:rsidRPr="00E312E8" w:rsidRDefault="0088150A" w:rsidP="002474C2">
      <w:r w:rsidRPr="00E312E8">
        <w:t>Helpline and web-based services provide:</w:t>
      </w:r>
    </w:p>
    <w:p w:rsidR="0088150A" w:rsidRPr="00C10A99" w:rsidRDefault="0088150A" w:rsidP="002474C2">
      <w:pPr>
        <w:pStyle w:val="Bullet"/>
      </w:pPr>
      <w:r w:rsidRPr="00C10A99">
        <w:t>information</w:t>
      </w:r>
    </w:p>
    <w:p w:rsidR="0088150A" w:rsidRPr="00C10A99" w:rsidRDefault="0088150A" w:rsidP="002474C2">
      <w:pPr>
        <w:pStyle w:val="Bullet"/>
      </w:pPr>
      <w:r w:rsidRPr="00C10A99">
        <w:t>access to intervention services for people unable to access face-to-face services</w:t>
      </w:r>
    </w:p>
    <w:p w:rsidR="0088150A" w:rsidRPr="00C10A99" w:rsidRDefault="0088150A" w:rsidP="002474C2">
      <w:pPr>
        <w:pStyle w:val="Bullet"/>
      </w:pPr>
      <w:r w:rsidRPr="00C10A99">
        <w:t>referral to other gambling harm service providers</w:t>
      </w:r>
    </w:p>
    <w:p w:rsidR="0088150A" w:rsidRPr="00C10A99" w:rsidRDefault="0088150A" w:rsidP="002474C2">
      <w:pPr>
        <w:pStyle w:val="Bullet"/>
      </w:pPr>
      <w:r w:rsidRPr="00C10A99">
        <w:t>information on self-help, peer-to-peer support options and assessment guides.</w:t>
      </w:r>
    </w:p>
    <w:p w:rsidR="0088150A" w:rsidRDefault="0088150A" w:rsidP="002474C2"/>
    <w:p w:rsidR="0088150A" w:rsidRDefault="0088150A" w:rsidP="002474C2">
      <w:r>
        <w:t>Currently the Ministry funds two forms of telephone-based support, as follows.</w:t>
      </w:r>
    </w:p>
    <w:p w:rsidR="00A10EC0" w:rsidRDefault="0088150A" w:rsidP="002474C2">
      <w:pPr>
        <w:pStyle w:val="Bullet"/>
      </w:pPr>
      <w:r w:rsidRPr="006A52E8">
        <w:t>The Gambling Helpline provides a free 24</w:t>
      </w:r>
      <w:r>
        <w:t>/7</w:t>
      </w:r>
      <w:r w:rsidRPr="006A52E8">
        <w:t xml:space="preserve"> service</w:t>
      </w:r>
      <w:r>
        <w:t>,</w:t>
      </w:r>
      <w:r w:rsidRPr="006A52E8">
        <w:t xml:space="preserve"> and is a first contact point for people in crisis as a result of harmful gambling. It also provides a back-up for other services that are not available 24/7</w:t>
      </w:r>
      <w:r>
        <w:t>,</w:t>
      </w:r>
      <w:r w:rsidRPr="006A52E8">
        <w:t xml:space="preserve"> and ensures coverage in rural areas, where there are no face-to-face services. This is critical to the Ministry</w:t>
      </w:r>
      <w:r w:rsidR="00A10EC0">
        <w:t>’</w:t>
      </w:r>
      <w:r w:rsidRPr="006A52E8">
        <w:t>s service delivery model.</w:t>
      </w:r>
    </w:p>
    <w:p w:rsidR="0088150A" w:rsidRPr="007E6FF1" w:rsidRDefault="0088150A" w:rsidP="002474C2">
      <w:pPr>
        <w:pStyle w:val="Bullet"/>
      </w:pPr>
      <w:r w:rsidRPr="00BE6E1B">
        <w:t>The A</w:t>
      </w:r>
      <w:r w:rsidRPr="006A52E8">
        <w:t>sian Gambling Helpline is a limited service for the Asian community, provided by the PGF</w:t>
      </w:r>
      <w:r>
        <w:t>,</w:t>
      </w:r>
      <w:r w:rsidRPr="006A52E8">
        <w:t xml:space="preserve"> and is funded out of psychosocial interventions and support services.</w:t>
      </w:r>
    </w:p>
    <w:p w:rsidR="0088150A" w:rsidRPr="007D678C" w:rsidRDefault="0088150A" w:rsidP="002474C2"/>
    <w:p w:rsidR="00A10EC0" w:rsidRDefault="0088150A" w:rsidP="002474C2">
      <w:r>
        <w:t>Submissions from health</w:t>
      </w:r>
      <w:r w:rsidR="00EA1C20">
        <w:t xml:space="preserve"> groups</w:t>
      </w:r>
      <w:r>
        <w:t xml:space="preserve"> and service providers, particularly those serving Pacific and Asian communities, called for more language-appropriate support. Suggestions included translating key information into common languages online, and extending the hours and range of interpreter languages available. The Ministry will explore ways to extend the reach of these frontline services with Asian and Pacific providers and the consumer network.</w:t>
      </w:r>
    </w:p>
    <w:p w:rsidR="0088150A" w:rsidRDefault="0088150A" w:rsidP="002474C2"/>
    <w:p w:rsidR="0088150A" w:rsidRDefault="0088150A" w:rsidP="002474C2">
      <w:r>
        <w:t>It will also explore ways to increase the general helpline referral rate: currently only 0.8 percent of calls are referred to a treatment provider.</w:t>
      </w:r>
    </w:p>
    <w:p w:rsidR="0088150A" w:rsidRPr="00C10A99" w:rsidRDefault="0088150A" w:rsidP="002474C2">
      <w:pPr>
        <w:pStyle w:val="Heading3"/>
        <w:numPr>
          <w:ilvl w:val="0"/>
          <w:numId w:val="0"/>
        </w:numPr>
      </w:pPr>
      <w:bookmarkStart w:id="214" w:name="_Toc130094899"/>
      <w:bookmarkStart w:id="215" w:name="_Toc130094875"/>
      <w:bookmarkStart w:id="216" w:name="_Toc86049946"/>
      <w:bookmarkStart w:id="217" w:name="_Toc67802908"/>
      <w:bookmarkStart w:id="218" w:name="_Toc59414791"/>
      <w:bookmarkStart w:id="219" w:name="_Toc56522635"/>
      <w:r w:rsidRPr="00C10A99">
        <w:t>Psychosocial interventions and support</w:t>
      </w:r>
    </w:p>
    <w:p w:rsidR="0088150A" w:rsidRPr="00C10A99" w:rsidRDefault="0088150A" w:rsidP="00603E17">
      <w:pPr>
        <w:keepNext/>
      </w:pPr>
      <w:r w:rsidRPr="00C10A99">
        <w:t>Psychosocial intervention and support services include a range of interventions delivered to individuals or groups in a variety of settings (including prisons). People affected by a family</w:t>
      </w:r>
      <w:r w:rsidR="00281081">
        <w:t xml:space="preserve"> or </w:t>
      </w:r>
      <w:r w:rsidRPr="00C10A99">
        <w:t>whānau member</w:t>
      </w:r>
      <w:r w:rsidR="00A10EC0">
        <w:t>’</w:t>
      </w:r>
      <w:r w:rsidRPr="00C10A99">
        <w:t>s gambling can access the same range of services that is available to the gamblers themselves.</w:t>
      </w:r>
    </w:p>
    <w:p w:rsidR="0088150A" w:rsidRDefault="0088150A" w:rsidP="00F770B3">
      <w:pPr>
        <w:spacing w:before="240"/>
      </w:pPr>
      <w:r w:rsidRPr="00C10A99">
        <w:t>The four core intervention areas are</w:t>
      </w:r>
      <w:r>
        <w:t>:</w:t>
      </w:r>
      <w:r w:rsidRPr="00C10A99">
        <w:t xml:space="preserve"> brief intervention, full intervention, facilitation and follow</w:t>
      </w:r>
      <w:r>
        <w:t>-</w:t>
      </w:r>
      <w:r w:rsidRPr="00C10A99">
        <w:t xml:space="preserve">up services. </w:t>
      </w:r>
      <w:r w:rsidR="00A10EC0">
        <w:t>‘</w:t>
      </w:r>
      <w:r w:rsidRPr="00C10A99">
        <w:t>Brief intervention</w:t>
      </w:r>
      <w:r w:rsidR="00A10EC0">
        <w:t>’</w:t>
      </w:r>
      <w:r w:rsidRPr="00C10A99">
        <w:t xml:space="preserve"> in this context refers to brief screening for </w:t>
      </w:r>
      <w:r w:rsidRPr="00C10A99">
        <w:lastRenderedPageBreak/>
        <w:t>problems, typically in a non-clinical environment.</w:t>
      </w:r>
      <w:r>
        <w:t xml:space="preserve"> This </w:t>
      </w:r>
      <w:r w:rsidRPr="00C10A99">
        <w:t>should not be confused with brief clinical interventions</w:t>
      </w:r>
      <w:r>
        <w:t>;</w:t>
      </w:r>
      <w:r w:rsidRPr="00C10A99">
        <w:t xml:space="preserve"> for example</w:t>
      </w:r>
      <w:r>
        <w:t>,</w:t>
      </w:r>
      <w:r w:rsidRPr="00C10A99">
        <w:t xml:space="preserve"> </w:t>
      </w:r>
      <w:r>
        <w:t xml:space="preserve">via </w:t>
      </w:r>
      <w:r w:rsidRPr="00C10A99">
        <w:t>telephone.</w:t>
      </w:r>
    </w:p>
    <w:p w:rsidR="0088150A" w:rsidRDefault="0088150A" w:rsidP="002474C2"/>
    <w:p w:rsidR="00A10EC0" w:rsidRDefault="0088150A" w:rsidP="002474C2">
      <w:r>
        <w:t xml:space="preserve">During this period, the Ministry intends to add residential care and peer support to the service mix with pilot services (see Section </w:t>
      </w:r>
      <w:r w:rsidR="00FF6E89">
        <w:t>3</w:t>
      </w:r>
      <w:r>
        <w:t>.</w:t>
      </w:r>
      <w:r w:rsidR="00FF6E89">
        <w:t>6</w:t>
      </w:r>
      <w:r>
        <w:t>).</w:t>
      </w:r>
    </w:p>
    <w:p w:rsidR="0088150A" w:rsidRDefault="0088150A" w:rsidP="002474C2"/>
    <w:p w:rsidR="0088150A" w:rsidRPr="00C10A99" w:rsidRDefault="0088150A" w:rsidP="002474C2">
      <w:pPr>
        <w:rPr>
          <w:strike/>
        </w:rPr>
      </w:pPr>
      <w:r w:rsidRPr="00C10A99">
        <w:t>The Ministry is committed to improving access to services for all people adversely affected by gambling. Services and activities designed to identify people</w:t>
      </w:r>
      <w:r>
        <w:t xml:space="preserve"> who are</w:t>
      </w:r>
      <w:r w:rsidRPr="00C10A99">
        <w:t xml:space="preserve"> experiencing harm are crucial in providing early prevention and intervention treatment. </w:t>
      </w:r>
      <w:r>
        <w:t>T</w:t>
      </w:r>
      <w:r w:rsidRPr="00C10A99">
        <w:t xml:space="preserve">his approach </w:t>
      </w:r>
      <w:r>
        <w:t>enables the Ministry to work</w:t>
      </w:r>
      <w:r w:rsidRPr="00C10A99">
        <w:t xml:space="preserve"> actively to minimise the impact harmful gambling has on individuals</w:t>
      </w:r>
      <w:r w:rsidR="009C5BBD">
        <w:t>,</w:t>
      </w:r>
      <w:r w:rsidRPr="00C10A99">
        <w:t xml:space="preserve"> their families</w:t>
      </w:r>
      <w:r w:rsidR="009C5BBD">
        <w:t xml:space="preserve"> and </w:t>
      </w:r>
      <w:r w:rsidRPr="00C10A99">
        <w:t>whānau and others.</w:t>
      </w:r>
    </w:p>
    <w:p w:rsidR="0088150A" w:rsidRDefault="0088150A" w:rsidP="002474C2"/>
    <w:p w:rsidR="00A10EC0" w:rsidRDefault="0088150A" w:rsidP="002474C2">
      <w:r>
        <w:t xml:space="preserve">Many people of all ethnicities will access </w:t>
      </w:r>
      <w:r w:rsidR="00A10EC0">
        <w:t>‘</w:t>
      </w:r>
      <w:r>
        <w:t>mainstream</w:t>
      </w:r>
      <w:r w:rsidR="00A10EC0">
        <w:t>’</w:t>
      </w:r>
      <w:r>
        <w:t xml:space="preserve"> services rather than culturally</w:t>
      </w:r>
      <w:r w:rsidR="00EA1C20">
        <w:t xml:space="preserve"> </w:t>
      </w:r>
      <w:r>
        <w:t>specific services. Given the long-standing inequities Māori have experienced, and the Crown</w:t>
      </w:r>
      <w:r w:rsidR="00A10EC0">
        <w:t>’</w:t>
      </w:r>
      <w:r>
        <w:t xml:space="preserve">s responsibilities under Te Tiriti o Waitangi, the Ministry will consider how it can ensure that </w:t>
      </w:r>
      <w:r w:rsidR="00A10EC0">
        <w:t>‘</w:t>
      </w:r>
      <w:r>
        <w:t>mainstream</w:t>
      </w:r>
      <w:r w:rsidR="00A10EC0">
        <w:t>’</w:t>
      </w:r>
      <w:r>
        <w:t xml:space="preserve"> services go beyond</w:t>
      </w:r>
      <w:r w:rsidRPr="00C10A99">
        <w:t xml:space="preserve"> cultural compete</w:t>
      </w:r>
      <w:r>
        <w:t xml:space="preserve">nce, and actively </w:t>
      </w:r>
      <w:r w:rsidR="00EA1C20">
        <w:t>e</w:t>
      </w:r>
      <w:r>
        <w:t>mbed te ao Māori concepts into their clinical interventions.</w:t>
      </w:r>
    </w:p>
    <w:p w:rsidR="0088150A" w:rsidRDefault="0088150A" w:rsidP="002474C2"/>
    <w:p w:rsidR="00A10EC0" w:rsidRDefault="0088150A" w:rsidP="002474C2">
      <w:r w:rsidRPr="00C10A99">
        <w:t xml:space="preserve">In addition, </w:t>
      </w:r>
      <w:r>
        <w:t xml:space="preserve">the Ministry notes that submissions called for more culturally accessible services. The Ministry intends to continue to work with </w:t>
      </w:r>
      <w:r w:rsidRPr="00C10A99">
        <w:t>dedicated Māori, Pacific and Asian service</w:t>
      </w:r>
      <w:r>
        <w:t xml:space="preserve"> providers and consumer networks to explore ways to provide culturally appropriate interventions and support </w:t>
      </w:r>
      <w:r w:rsidRPr="00C10A99">
        <w:t>for those population groups.</w:t>
      </w:r>
      <w:r>
        <w:t xml:space="preserve"> </w:t>
      </w:r>
      <w:r w:rsidRPr="00C10A99">
        <w:t xml:space="preserve">The Ministry expects all services to be </w:t>
      </w:r>
      <w:r>
        <w:t>clinically safe and effective.</w:t>
      </w:r>
    </w:p>
    <w:p w:rsidR="0088150A" w:rsidRDefault="0088150A" w:rsidP="002474C2"/>
    <w:p w:rsidR="0088150A" w:rsidRDefault="0088150A" w:rsidP="00954ABC">
      <w:pPr>
        <w:widowControl w:val="0"/>
      </w:pPr>
      <w:r w:rsidRPr="00C10A99">
        <w:t xml:space="preserve">The Ministry considers it appropriate to </w:t>
      </w:r>
      <w:r>
        <w:t>pilot</w:t>
      </w:r>
      <w:r w:rsidRPr="00C10A99">
        <w:t xml:space="preserve"> psychosocial interventions and support </w:t>
      </w:r>
      <w:r>
        <w:t>to address areas highlighted by the needs assessment and to test new service models: for example, to develop pilot services in areas that currently have limited access</w:t>
      </w:r>
      <w:r w:rsidR="008A7FFE">
        <w:t>,</w:t>
      </w:r>
      <w:r>
        <w:t xml:space="preserve"> and </w:t>
      </w:r>
      <w:r w:rsidR="008A7FFE">
        <w:t xml:space="preserve">to </w:t>
      </w:r>
      <w:r>
        <w:t xml:space="preserve">explore innovation </w:t>
      </w:r>
      <w:r w:rsidRPr="00C10A99">
        <w:t>within</w:t>
      </w:r>
      <w:r>
        <w:t xml:space="preserve"> those services.</w:t>
      </w:r>
    </w:p>
    <w:p w:rsidR="0088150A" w:rsidRPr="00C10A99" w:rsidRDefault="0088150A" w:rsidP="00954ABC">
      <w:pPr>
        <w:pStyle w:val="Heading3"/>
        <w:keepNext w:val="0"/>
        <w:widowControl w:val="0"/>
        <w:numPr>
          <w:ilvl w:val="0"/>
          <w:numId w:val="0"/>
        </w:numPr>
      </w:pPr>
      <w:r w:rsidRPr="00C10A99">
        <w:t>Data collection and reporting</w:t>
      </w:r>
    </w:p>
    <w:p w:rsidR="0088150A" w:rsidRPr="00C10A99" w:rsidRDefault="0088150A" w:rsidP="00954ABC">
      <w:pPr>
        <w:widowControl w:val="0"/>
      </w:pPr>
      <w:r w:rsidRPr="00C10A99">
        <w:t>The Ministry largely carries out data collection and reporting internally. The small sum specifically budgeted each year for collecti</w:t>
      </w:r>
      <w:r>
        <w:t>ng</w:t>
      </w:r>
      <w:r w:rsidRPr="00C10A99">
        <w:t xml:space="preserve"> and reporting </w:t>
      </w:r>
      <w:r>
        <w:t xml:space="preserve">on </w:t>
      </w:r>
      <w:r w:rsidRPr="00C10A99">
        <w:t xml:space="preserve">data allows for an external provider to address data collection issues </w:t>
      </w:r>
      <w:r>
        <w:t>that require</w:t>
      </w:r>
      <w:r w:rsidRPr="00C10A99">
        <w:t xml:space="preserve"> institutional knowledge and to make small technical adjustments, if required.</w:t>
      </w:r>
    </w:p>
    <w:p w:rsidR="0088150A" w:rsidRDefault="0088150A" w:rsidP="00954ABC">
      <w:pPr>
        <w:widowControl w:val="0"/>
      </w:pPr>
    </w:p>
    <w:p w:rsidR="0088150A" w:rsidRDefault="0088150A" w:rsidP="00954ABC">
      <w:pPr>
        <w:widowControl w:val="0"/>
      </w:pPr>
      <w:r w:rsidRPr="00C10A99">
        <w:t xml:space="preserve">As of 2018, intervention service providers are </w:t>
      </w:r>
      <w:r w:rsidRPr="00E312E8">
        <w:t xml:space="preserve">required to record and report clients </w:t>
      </w:r>
      <w:r>
        <w:t>National Health Index (</w:t>
      </w:r>
      <w:r w:rsidRPr="00E312E8">
        <w:t>NHI</w:t>
      </w:r>
      <w:r>
        <w:t>)</w:t>
      </w:r>
      <w:r w:rsidRPr="00E312E8">
        <w:t xml:space="preserve"> </w:t>
      </w:r>
      <w:r w:rsidRPr="00FD6F60">
        <w:t>numbers to the</w:t>
      </w:r>
      <w:r w:rsidRPr="00E312E8">
        <w:t xml:space="preserve"> Ministry. These identifiers</w:t>
      </w:r>
      <w:r>
        <w:t xml:space="preserve"> </w:t>
      </w:r>
      <w:r w:rsidRPr="00E312E8">
        <w:t>allow individual patients to be positively and uniquely identified for the purposes of treatment and care and for maintaining medical records.</w:t>
      </w:r>
      <w:r w:rsidRPr="00C10A99">
        <w:t xml:space="preserve"> This will also help provide better data about </w:t>
      </w:r>
      <w:r>
        <w:t xml:space="preserve">services provided, </w:t>
      </w:r>
      <w:r w:rsidRPr="00C10A99">
        <w:t>treatment efficacy and outcomes.</w:t>
      </w:r>
    </w:p>
    <w:p w:rsidR="0088150A" w:rsidRPr="00C10A99" w:rsidRDefault="0088150A" w:rsidP="002474C2">
      <w:pPr>
        <w:pStyle w:val="Heading3"/>
        <w:numPr>
          <w:ilvl w:val="0"/>
          <w:numId w:val="0"/>
        </w:numPr>
      </w:pPr>
      <w:r w:rsidRPr="00C10A99">
        <w:t>Workforce development (intervention)</w:t>
      </w:r>
    </w:p>
    <w:p w:rsidR="0088150A" w:rsidRDefault="0088150A" w:rsidP="002474C2">
      <w:r w:rsidRPr="00C10A99">
        <w:t>Workforce development will continue to be an important component to support psychosocial intervention services.</w:t>
      </w:r>
    </w:p>
    <w:p w:rsidR="00525EFA" w:rsidRDefault="00525EFA">
      <w:r>
        <w:br w:type="page"/>
      </w:r>
    </w:p>
    <w:p w:rsidR="0088150A" w:rsidRDefault="0088150A" w:rsidP="002474C2">
      <w:r w:rsidRPr="00C10A99">
        <w:lastRenderedPageBreak/>
        <w:t>The Ministry will continue to suppor</w:t>
      </w:r>
      <w:r>
        <w:t>t intervention practitioners to:</w:t>
      </w:r>
    </w:p>
    <w:p w:rsidR="0088150A" w:rsidRPr="00E312E8" w:rsidRDefault="0088150A" w:rsidP="002474C2">
      <w:pPr>
        <w:pStyle w:val="Bullet"/>
      </w:pPr>
      <w:r w:rsidRPr="00C10A99">
        <w:t xml:space="preserve">register </w:t>
      </w:r>
      <w:r>
        <w:t xml:space="preserve">as </w:t>
      </w:r>
      <w:r w:rsidRPr="00E312E8">
        <w:t>health practitioner</w:t>
      </w:r>
      <w:r>
        <w:t>s</w:t>
      </w:r>
      <w:r w:rsidRPr="00E312E8">
        <w:t xml:space="preserve"> permitted to practise within a relevant scope of practice under </w:t>
      </w:r>
      <w:r w:rsidRPr="00C10A99">
        <w:t>the Health Practitioners Competence Assurance Act 2003</w:t>
      </w:r>
      <w:r>
        <w:t>, or</w:t>
      </w:r>
    </w:p>
    <w:p w:rsidR="0088150A" w:rsidRDefault="0088150A" w:rsidP="002474C2">
      <w:pPr>
        <w:pStyle w:val="Bullet"/>
      </w:pPr>
      <w:r w:rsidRPr="00C10A99">
        <w:t xml:space="preserve">register </w:t>
      </w:r>
      <w:r>
        <w:t xml:space="preserve">with </w:t>
      </w:r>
      <w:r w:rsidRPr="00C10A99">
        <w:t xml:space="preserve">or </w:t>
      </w:r>
      <w:r>
        <w:t xml:space="preserve">be </w:t>
      </w:r>
      <w:r w:rsidRPr="00C10A99">
        <w:t>endorsed by DAPAANZ as having demonstrated the relevant specific competencies, or</w:t>
      </w:r>
    </w:p>
    <w:p w:rsidR="0088150A" w:rsidRDefault="0088150A" w:rsidP="002474C2">
      <w:pPr>
        <w:pStyle w:val="Bullet"/>
      </w:pPr>
      <w:r w:rsidRPr="00C10A99">
        <w:t>be equivalently registered with another relevant health professional body and hold at least six months</w:t>
      </w:r>
      <w:r w:rsidR="00A10EC0">
        <w:t>’</w:t>
      </w:r>
      <w:r w:rsidRPr="00C10A99">
        <w:t xml:space="preserve"> post-qualification experience as an addiction practitioner.</w:t>
      </w:r>
    </w:p>
    <w:p w:rsidR="0088150A" w:rsidRPr="006A52E8" w:rsidRDefault="0088150A" w:rsidP="003B59E9">
      <w:pPr>
        <w:rPr>
          <w:highlight w:val="yellow"/>
        </w:rPr>
      </w:pPr>
    </w:p>
    <w:p w:rsidR="0088150A" w:rsidRDefault="0088150A" w:rsidP="003B59E9">
      <w:r w:rsidRPr="00C10A99">
        <w:t>A key focus is to align the gambling harm intervention workforce with</w:t>
      </w:r>
      <w:r>
        <w:t xml:space="preserve"> the wider addiction workforce. </w:t>
      </w:r>
      <w:r w:rsidRPr="00C10A99">
        <w:t xml:space="preserve">Research shows that alcohol and other drug problems are often an issue for those experiencing harm from gambling. </w:t>
      </w:r>
      <w:r>
        <w:t>Adopting workforce standards with comparable standards across the broader addiction workforce will provide greater career mobility and pathways and help build a more resilient and sustainable workforce.</w:t>
      </w:r>
    </w:p>
    <w:p w:rsidR="0088150A" w:rsidRDefault="0088150A" w:rsidP="003B59E9"/>
    <w:p w:rsidR="00A10EC0" w:rsidRPr="00F770B3" w:rsidRDefault="0088150A" w:rsidP="00F770B3">
      <w:pPr>
        <w:ind w:right="-142"/>
        <w:rPr>
          <w:spacing w:val="-4"/>
        </w:rPr>
      </w:pPr>
      <w:r w:rsidRPr="00F770B3">
        <w:rPr>
          <w:spacing w:val="-4"/>
        </w:rPr>
        <w:t>As noted in the discussion of public health, Māori, Pacific and Asian stakeholders and service provider submissions noted the need for more effective workforce training, including training in cultural competence and the importance of understanding the different worldviews of potential clients.</w:t>
      </w:r>
    </w:p>
    <w:p w:rsidR="0088150A" w:rsidRDefault="0088150A" w:rsidP="003B59E9"/>
    <w:p w:rsidR="00A10EC0" w:rsidRDefault="0088150A" w:rsidP="003B59E9">
      <w:r>
        <w:t>The Ministry will also explore appropriate level of training for kaiāwhina and peer support workers (but not at DAPAANZ level).</w:t>
      </w:r>
    </w:p>
    <w:p w:rsidR="003D7480" w:rsidRPr="00C10A99" w:rsidRDefault="003D7480" w:rsidP="003D7480">
      <w:pPr>
        <w:pStyle w:val="Heading2"/>
      </w:pPr>
      <w:bookmarkStart w:id="220" w:name="_Toc9239606"/>
      <w:bookmarkStart w:id="221" w:name="_Toc229279766"/>
      <w:bookmarkStart w:id="222" w:name="_Toc517090907"/>
      <w:bookmarkStart w:id="223" w:name="_Toc530487413"/>
      <w:r w:rsidRPr="00C10A99">
        <w:t>Research and evaluation</w:t>
      </w:r>
      <w:bookmarkEnd w:id="220"/>
    </w:p>
    <w:p w:rsidR="003D7480" w:rsidRPr="00582382" w:rsidRDefault="003D7480" w:rsidP="003D7480">
      <w:pPr>
        <w:ind w:right="-142"/>
        <w:rPr>
          <w:spacing w:val="-4"/>
        </w:rPr>
      </w:pPr>
      <w:r w:rsidRPr="00582382">
        <w:rPr>
          <w:spacing w:val="-4"/>
        </w:rPr>
        <w:t xml:space="preserve">There is a consensus among stakeholders that we need more action-oriented research and evaluations and less of ‘more of the same’ research. Section 317 of the Act specifies that the strategy must include independent scientific research associated with gambling, including (for example) longitudinal research on the social and economic impacts of gambling, particularly the impacts on different cultural groups. It must also include evaluation. </w:t>
      </w:r>
    </w:p>
    <w:p w:rsidR="003D7480" w:rsidRPr="00582382" w:rsidRDefault="003D7480" w:rsidP="003D7480">
      <w:pPr>
        <w:spacing w:before="240" w:after="240"/>
        <w:ind w:right="-142"/>
        <w:rPr>
          <w:spacing w:val="-4"/>
        </w:rPr>
      </w:pPr>
      <w:r w:rsidRPr="00582382">
        <w:rPr>
          <w:spacing w:val="-4"/>
        </w:rPr>
        <w:t xml:space="preserve">As well as addressing these requirements, the research and evaluation proposals below were informed by a review of the Ministry’s information needs for research to inform policy and operational decision-making, learn from past research commissioning experience and align the research delivery with the general government policy direction </w:t>
      </w:r>
      <w:r w:rsidR="00683C58">
        <w:rPr>
          <w:spacing w:val="-4"/>
        </w:rPr>
        <w:t>for</w:t>
      </w:r>
      <w:r w:rsidRPr="00582382">
        <w:rPr>
          <w:spacing w:val="-4"/>
        </w:rPr>
        <w:t xml:space="preserve"> government</w:t>
      </w:r>
      <w:r w:rsidR="00683C58">
        <w:rPr>
          <w:spacing w:val="-4"/>
        </w:rPr>
        <w:t>-</w:t>
      </w:r>
      <w:r w:rsidRPr="00582382">
        <w:rPr>
          <w:spacing w:val="-4"/>
        </w:rPr>
        <w:t>funded research services</w:t>
      </w:r>
      <w:r>
        <w:rPr>
          <w:spacing w:val="-4"/>
        </w:rPr>
        <w:t xml:space="preserve"> and consultation with the </w:t>
      </w:r>
      <w:r w:rsidRPr="00582382">
        <w:rPr>
          <w:spacing w:val="-4"/>
        </w:rPr>
        <w:t>gambling sector</w:t>
      </w:r>
      <w:r>
        <w:rPr>
          <w:spacing w:val="-4"/>
        </w:rPr>
        <w:t>.</w:t>
      </w:r>
      <w:r w:rsidRPr="00582382">
        <w:rPr>
          <w:spacing w:val="-4"/>
        </w:rPr>
        <w:t xml:space="preserve"> </w:t>
      </w:r>
    </w:p>
    <w:p w:rsidR="00151F15" w:rsidRDefault="00151F15">
      <w:pPr>
        <w:rPr>
          <w:b/>
          <w:sz w:val="20"/>
        </w:rPr>
      </w:pPr>
      <w:r>
        <w:br w:type="page"/>
      </w:r>
    </w:p>
    <w:p w:rsidR="003D7480" w:rsidRPr="008E3950" w:rsidRDefault="003D7480" w:rsidP="00AC044E">
      <w:pPr>
        <w:pStyle w:val="Table"/>
        <w:rPr>
          <w:rFonts w:cs="Arial"/>
        </w:rPr>
      </w:pPr>
      <w:bookmarkStart w:id="224" w:name="_Toc4156636"/>
      <w:bookmarkStart w:id="225" w:name="_Toc8398936"/>
      <w:r w:rsidRPr="00C10A99">
        <w:lastRenderedPageBreak/>
        <w:t>Table</w:t>
      </w:r>
      <w:r w:rsidR="00616EE2">
        <w:t xml:space="preserve"> </w:t>
      </w:r>
      <w:r w:rsidR="00762F08">
        <w:rPr>
          <w:noProof/>
        </w:rPr>
        <w:fldChar w:fldCharType="begin"/>
      </w:r>
      <w:r w:rsidR="00762F08">
        <w:rPr>
          <w:noProof/>
        </w:rPr>
        <w:instrText xml:space="preserve"> SEQ Table \* ARABIC </w:instrText>
      </w:r>
      <w:r w:rsidR="00762F08">
        <w:rPr>
          <w:noProof/>
        </w:rPr>
        <w:fldChar w:fldCharType="separate"/>
      </w:r>
      <w:r w:rsidR="0002049A">
        <w:rPr>
          <w:noProof/>
        </w:rPr>
        <w:t>18</w:t>
      </w:r>
      <w:r w:rsidR="00762F08">
        <w:rPr>
          <w:noProof/>
        </w:rPr>
        <w:fldChar w:fldCharType="end"/>
      </w:r>
      <w:r w:rsidRPr="00C10A99">
        <w:t xml:space="preserve">: </w:t>
      </w:r>
      <w:r w:rsidR="00222302">
        <w:t>R</w:t>
      </w:r>
      <w:r w:rsidRPr="00C10A99">
        <w:t>esearch and evaluation budget (GST</w:t>
      </w:r>
      <w:r>
        <w:t xml:space="preserve"> </w:t>
      </w:r>
      <w:r w:rsidRPr="00C10A99">
        <w:t>exclusive), 2019/20</w:t>
      </w:r>
      <w:r>
        <w:t>–</w:t>
      </w:r>
      <w:r w:rsidRPr="00C10A99">
        <w:t>2021/22</w:t>
      </w:r>
      <w:bookmarkEnd w:id="224"/>
      <w:bookmarkEnd w:id="225"/>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3686"/>
        <w:gridCol w:w="1098"/>
        <w:gridCol w:w="1099"/>
        <w:gridCol w:w="1098"/>
        <w:gridCol w:w="1099"/>
      </w:tblGrid>
      <w:tr w:rsidR="003D7480" w:rsidRPr="003B59E9" w:rsidTr="0019423E">
        <w:trPr>
          <w:cantSplit/>
        </w:trPr>
        <w:tc>
          <w:tcPr>
            <w:tcW w:w="3686" w:type="dxa"/>
            <w:tcBorders>
              <w:top w:val="nil"/>
              <w:bottom w:val="nil"/>
            </w:tcBorders>
            <w:shd w:val="clear" w:color="auto" w:fill="D9D9D9" w:themeFill="background1" w:themeFillShade="D9"/>
          </w:tcPr>
          <w:p w:rsidR="003D7480" w:rsidRPr="003B59E9" w:rsidRDefault="003D7480" w:rsidP="0019423E">
            <w:pPr>
              <w:pStyle w:val="TableText"/>
              <w:rPr>
                <w:b/>
              </w:rPr>
            </w:pPr>
            <w:r w:rsidRPr="003B59E9">
              <w:rPr>
                <w:b/>
              </w:rPr>
              <w:t>Service area</w:t>
            </w:r>
          </w:p>
        </w:tc>
        <w:tc>
          <w:tcPr>
            <w:tcW w:w="1098" w:type="dxa"/>
            <w:tcBorders>
              <w:top w:val="nil"/>
              <w:bottom w:val="nil"/>
            </w:tcBorders>
            <w:shd w:val="clear" w:color="auto" w:fill="D9D9D9" w:themeFill="background1" w:themeFillShade="D9"/>
          </w:tcPr>
          <w:p w:rsidR="003D7480" w:rsidRPr="003B59E9" w:rsidRDefault="003D7480" w:rsidP="0019423E">
            <w:pPr>
              <w:pStyle w:val="TableText"/>
              <w:jc w:val="center"/>
              <w:rPr>
                <w:b/>
                <w:lang w:eastAsia="en-US"/>
              </w:rPr>
            </w:pPr>
            <w:r w:rsidRPr="003B59E9">
              <w:rPr>
                <w:b/>
                <w:lang w:eastAsia="en-US"/>
              </w:rPr>
              <w:t>2019/20</w:t>
            </w:r>
            <w:r w:rsidRPr="003B59E9">
              <w:rPr>
                <w:b/>
                <w:lang w:eastAsia="en-US"/>
              </w:rPr>
              <w:br/>
              <w:t>($m)</w:t>
            </w:r>
          </w:p>
        </w:tc>
        <w:tc>
          <w:tcPr>
            <w:tcW w:w="1099" w:type="dxa"/>
            <w:tcBorders>
              <w:top w:val="nil"/>
              <w:bottom w:val="nil"/>
            </w:tcBorders>
            <w:shd w:val="clear" w:color="auto" w:fill="D9D9D9" w:themeFill="background1" w:themeFillShade="D9"/>
          </w:tcPr>
          <w:p w:rsidR="003D7480" w:rsidRPr="003B59E9" w:rsidRDefault="003D7480" w:rsidP="0019423E">
            <w:pPr>
              <w:pStyle w:val="TableText"/>
              <w:jc w:val="center"/>
              <w:rPr>
                <w:b/>
                <w:lang w:eastAsia="en-US"/>
              </w:rPr>
            </w:pPr>
            <w:r w:rsidRPr="003B59E9">
              <w:rPr>
                <w:b/>
                <w:lang w:eastAsia="en-US"/>
              </w:rPr>
              <w:t>2020/21</w:t>
            </w:r>
            <w:r w:rsidRPr="003B59E9">
              <w:rPr>
                <w:b/>
                <w:lang w:eastAsia="en-US"/>
              </w:rPr>
              <w:br/>
              <w:t>($m)</w:t>
            </w:r>
          </w:p>
        </w:tc>
        <w:tc>
          <w:tcPr>
            <w:tcW w:w="1098" w:type="dxa"/>
            <w:tcBorders>
              <w:top w:val="nil"/>
              <w:bottom w:val="nil"/>
            </w:tcBorders>
            <w:shd w:val="clear" w:color="auto" w:fill="D9D9D9" w:themeFill="background1" w:themeFillShade="D9"/>
          </w:tcPr>
          <w:p w:rsidR="003D7480" w:rsidRPr="003B59E9" w:rsidRDefault="003D7480" w:rsidP="0019423E">
            <w:pPr>
              <w:pStyle w:val="TableText"/>
              <w:jc w:val="center"/>
              <w:rPr>
                <w:b/>
                <w:lang w:eastAsia="en-US"/>
              </w:rPr>
            </w:pPr>
            <w:r w:rsidRPr="003B59E9">
              <w:rPr>
                <w:b/>
                <w:lang w:eastAsia="en-US"/>
              </w:rPr>
              <w:t>2021/22</w:t>
            </w:r>
            <w:r w:rsidRPr="003B59E9">
              <w:rPr>
                <w:b/>
                <w:lang w:eastAsia="en-US"/>
              </w:rPr>
              <w:br/>
              <w:t>($m)</w:t>
            </w:r>
          </w:p>
        </w:tc>
        <w:tc>
          <w:tcPr>
            <w:tcW w:w="1099" w:type="dxa"/>
            <w:tcBorders>
              <w:top w:val="nil"/>
              <w:bottom w:val="nil"/>
            </w:tcBorders>
            <w:shd w:val="clear" w:color="auto" w:fill="D9D9D9" w:themeFill="background1" w:themeFillShade="D9"/>
          </w:tcPr>
          <w:p w:rsidR="003D7480" w:rsidRPr="003B59E9" w:rsidRDefault="003D7480" w:rsidP="0019423E">
            <w:pPr>
              <w:pStyle w:val="TableText"/>
              <w:jc w:val="center"/>
              <w:rPr>
                <w:b/>
              </w:rPr>
            </w:pPr>
            <w:r w:rsidRPr="003B59E9">
              <w:rPr>
                <w:b/>
              </w:rPr>
              <w:t>Total</w:t>
            </w:r>
            <w:r w:rsidRPr="003B59E9">
              <w:rPr>
                <w:b/>
              </w:rPr>
              <w:br/>
              <w:t>($m)</w:t>
            </w:r>
          </w:p>
        </w:tc>
      </w:tr>
      <w:tr w:rsidR="003D7480" w:rsidRPr="00701D62" w:rsidTr="0019423E">
        <w:trPr>
          <w:cantSplit/>
        </w:trPr>
        <w:tc>
          <w:tcPr>
            <w:tcW w:w="3686" w:type="dxa"/>
            <w:tcBorders>
              <w:top w:val="nil"/>
            </w:tcBorders>
            <w:shd w:val="clear" w:color="auto" w:fill="auto"/>
          </w:tcPr>
          <w:p w:rsidR="003D7480" w:rsidRPr="00954ABC" w:rsidRDefault="003D7480" w:rsidP="0019423E">
            <w:pPr>
              <w:pStyle w:val="TableText"/>
            </w:pPr>
            <w:r w:rsidRPr="00954ABC">
              <w:t>Research</w:t>
            </w:r>
          </w:p>
        </w:tc>
        <w:tc>
          <w:tcPr>
            <w:tcW w:w="1098" w:type="dxa"/>
            <w:tcBorders>
              <w:top w:val="nil"/>
            </w:tcBorders>
            <w:shd w:val="clear" w:color="auto" w:fill="auto"/>
            <w:noWrap/>
            <w:vAlign w:val="center"/>
          </w:tcPr>
          <w:p w:rsidR="003D7480" w:rsidRPr="00954ABC" w:rsidRDefault="003D7480" w:rsidP="0019423E">
            <w:pPr>
              <w:pStyle w:val="TableText"/>
              <w:tabs>
                <w:tab w:val="decimal" w:pos="407"/>
              </w:tabs>
            </w:pPr>
            <w:r w:rsidRPr="00954ABC">
              <w:t>1.485</w:t>
            </w:r>
          </w:p>
        </w:tc>
        <w:tc>
          <w:tcPr>
            <w:tcW w:w="1099" w:type="dxa"/>
            <w:tcBorders>
              <w:top w:val="nil"/>
            </w:tcBorders>
            <w:shd w:val="clear" w:color="auto" w:fill="auto"/>
            <w:noWrap/>
            <w:vAlign w:val="center"/>
          </w:tcPr>
          <w:p w:rsidR="003D7480" w:rsidRPr="00954ABC" w:rsidRDefault="003D7480" w:rsidP="0019423E">
            <w:pPr>
              <w:pStyle w:val="TableText"/>
              <w:tabs>
                <w:tab w:val="decimal" w:pos="407"/>
              </w:tabs>
            </w:pPr>
            <w:r w:rsidRPr="00954ABC">
              <w:t>1.499</w:t>
            </w:r>
          </w:p>
        </w:tc>
        <w:tc>
          <w:tcPr>
            <w:tcW w:w="1098" w:type="dxa"/>
            <w:tcBorders>
              <w:top w:val="nil"/>
            </w:tcBorders>
            <w:shd w:val="clear" w:color="auto" w:fill="auto"/>
            <w:noWrap/>
            <w:vAlign w:val="center"/>
          </w:tcPr>
          <w:p w:rsidR="003D7480" w:rsidRPr="00954ABC" w:rsidRDefault="003D7480" w:rsidP="0019423E">
            <w:pPr>
              <w:pStyle w:val="TableText"/>
              <w:tabs>
                <w:tab w:val="decimal" w:pos="407"/>
              </w:tabs>
            </w:pPr>
            <w:r w:rsidRPr="00954ABC">
              <w:t>1.5</w:t>
            </w:r>
            <w:r w:rsidR="00C60144">
              <w:t>00</w:t>
            </w:r>
          </w:p>
        </w:tc>
        <w:tc>
          <w:tcPr>
            <w:tcW w:w="1099" w:type="dxa"/>
            <w:tcBorders>
              <w:top w:val="nil"/>
            </w:tcBorders>
            <w:shd w:val="clear" w:color="auto" w:fill="auto"/>
            <w:noWrap/>
            <w:vAlign w:val="center"/>
          </w:tcPr>
          <w:p w:rsidR="003D7480" w:rsidRPr="00954ABC" w:rsidRDefault="003D7480" w:rsidP="0019423E">
            <w:pPr>
              <w:pStyle w:val="TableText"/>
              <w:jc w:val="center"/>
            </w:pPr>
            <w:r w:rsidRPr="00954ABC">
              <w:t>4.484</w:t>
            </w:r>
          </w:p>
        </w:tc>
      </w:tr>
      <w:tr w:rsidR="003D7480" w:rsidRPr="00F722CC" w:rsidTr="0019423E">
        <w:trPr>
          <w:cantSplit/>
        </w:trPr>
        <w:tc>
          <w:tcPr>
            <w:tcW w:w="3686" w:type="dxa"/>
            <w:shd w:val="clear" w:color="auto" w:fill="auto"/>
          </w:tcPr>
          <w:p w:rsidR="003D7480" w:rsidRPr="003C32A5" w:rsidRDefault="003D7480" w:rsidP="0019423E">
            <w:pPr>
              <w:pStyle w:val="TableText"/>
            </w:pPr>
            <w:r w:rsidRPr="003C32A5">
              <w:t>Evaluation (including outcomes reporting)</w:t>
            </w:r>
          </w:p>
        </w:tc>
        <w:tc>
          <w:tcPr>
            <w:tcW w:w="1098" w:type="dxa"/>
            <w:shd w:val="clear" w:color="auto" w:fill="auto"/>
            <w:noWrap/>
            <w:vAlign w:val="center"/>
          </w:tcPr>
          <w:p w:rsidR="003D7480" w:rsidRPr="003C32A5" w:rsidRDefault="003D7480" w:rsidP="0019423E">
            <w:pPr>
              <w:pStyle w:val="TableText"/>
              <w:tabs>
                <w:tab w:val="decimal" w:pos="407"/>
              </w:tabs>
            </w:pPr>
            <w:r w:rsidRPr="003C32A5">
              <w:t>0.575</w:t>
            </w:r>
          </w:p>
        </w:tc>
        <w:tc>
          <w:tcPr>
            <w:tcW w:w="1099" w:type="dxa"/>
            <w:shd w:val="clear" w:color="auto" w:fill="auto"/>
            <w:noWrap/>
            <w:vAlign w:val="center"/>
          </w:tcPr>
          <w:p w:rsidR="003D7480" w:rsidRPr="003C32A5" w:rsidRDefault="003D7480" w:rsidP="0019423E">
            <w:pPr>
              <w:pStyle w:val="TableText"/>
              <w:tabs>
                <w:tab w:val="decimal" w:pos="407"/>
              </w:tabs>
            </w:pPr>
            <w:r w:rsidRPr="003C32A5">
              <w:t>0.72</w:t>
            </w:r>
            <w:r w:rsidR="00C60144">
              <w:t>0</w:t>
            </w:r>
          </w:p>
        </w:tc>
        <w:tc>
          <w:tcPr>
            <w:tcW w:w="1098" w:type="dxa"/>
            <w:shd w:val="clear" w:color="auto" w:fill="auto"/>
            <w:noWrap/>
            <w:vAlign w:val="center"/>
          </w:tcPr>
          <w:p w:rsidR="003D7480" w:rsidRPr="003C32A5" w:rsidRDefault="003D7480" w:rsidP="0019423E">
            <w:pPr>
              <w:pStyle w:val="TableText"/>
              <w:tabs>
                <w:tab w:val="decimal" w:pos="407"/>
              </w:tabs>
            </w:pPr>
            <w:r w:rsidRPr="003C32A5">
              <w:t>0.85</w:t>
            </w:r>
            <w:r w:rsidR="00C60144">
              <w:t>0</w:t>
            </w:r>
          </w:p>
        </w:tc>
        <w:tc>
          <w:tcPr>
            <w:tcW w:w="1099" w:type="dxa"/>
            <w:shd w:val="clear" w:color="auto" w:fill="auto"/>
            <w:noWrap/>
            <w:vAlign w:val="center"/>
          </w:tcPr>
          <w:p w:rsidR="003D7480" w:rsidRPr="003C32A5" w:rsidRDefault="003D7480" w:rsidP="0019423E">
            <w:pPr>
              <w:pStyle w:val="TableText"/>
              <w:jc w:val="center"/>
            </w:pPr>
            <w:r w:rsidRPr="003C32A5">
              <w:t>2.145</w:t>
            </w:r>
          </w:p>
        </w:tc>
      </w:tr>
      <w:tr w:rsidR="003D7480" w:rsidRPr="003B59E9" w:rsidTr="0019423E">
        <w:trPr>
          <w:cantSplit/>
        </w:trPr>
        <w:tc>
          <w:tcPr>
            <w:tcW w:w="3686" w:type="dxa"/>
            <w:shd w:val="clear" w:color="auto" w:fill="auto"/>
          </w:tcPr>
          <w:p w:rsidR="003D7480" w:rsidRPr="003B59E9" w:rsidRDefault="003D7480" w:rsidP="0019423E">
            <w:pPr>
              <w:pStyle w:val="TableText"/>
              <w:rPr>
                <w:b/>
              </w:rPr>
            </w:pPr>
            <w:r w:rsidRPr="003B59E9">
              <w:rPr>
                <w:b/>
              </w:rPr>
              <w:t>Total ($m)</w:t>
            </w:r>
          </w:p>
        </w:tc>
        <w:tc>
          <w:tcPr>
            <w:tcW w:w="1098" w:type="dxa"/>
            <w:shd w:val="clear" w:color="auto" w:fill="auto"/>
            <w:vAlign w:val="center"/>
          </w:tcPr>
          <w:p w:rsidR="003D7480" w:rsidRPr="003B59E9" w:rsidRDefault="003D7480" w:rsidP="0019423E">
            <w:pPr>
              <w:pStyle w:val="TableText"/>
              <w:tabs>
                <w:tab w:val="decimal" w:pos="407"/>
              </w:tabs>
              <w:rPr>
                <w:b/>
                <w:bCs/>
              </w:rPr>
            </w:pPr>
            <w:r w:rsidRPr="003B59E9">
              <w:rPr>
                <w:b/>
                <w:bCs/>
                <w:color w:val="000000"/>
              </w:rPr>
              <w:t>2.06</w:t>
            </w:r>
            <w:r w:rsidR="00C60144">
              <w:rPr>
                <w:b/>
                <w:bCs/>
                <w:color w:val="000000"/>
              </w:rPr>
              <w:t>0</w:t>
            </w:r>
          </w:p>
        </w:tc>
        <w:tc>
          <w:tcPr>
            <w:tcW w:w="1099" w:type="dxa"/>
            <w:shd w:val="clear" w:color="auto" w:fill="auto"/>
            <w:vAlign w:val="center"/>
          </w:tcPr>
          <w:p w:rsidR="003D7480" w:rsidRPr="003B59E9" w:rsidRDefault="003D7480" w:rsidP="0019423E">
            <w:pPr>
              <w:pStyle w:val="TableText"/>
              <w:tabs>
                <w:tab w:val="decimal" w:pos="407"/>
              </w:tabs>
              <w:rPr>
                <w:b/>
                <w:bCs/>
              </w:rPr>
            </w:pPr>
            <w:r w:rsidRPr="003B59E9">
              <w:rPr>
                <w:b/>
                <w:bCs/>
                <w:color w:val="000000"/>
              </w:rPr>
              <w:t>2.219</w:t>
            </w:r>
          </w:p>
        </w:tc>
        <w:tc>
          <w:tcPr>
            <w:tcW w:w="1098" w:type="dxa"/>
            <w:shd w:val="clear" w:color="auto" w:fill="auto"/>
            <w:vAlign w:val="center"/>
          </w:tcPr>
          <w:p w:rsidR="003D7480" w:rsidRPr="003B59E9" w:rsidRDefault="003D7480" w:rsidP="0019423E">
            <w:pPr>
              <w:pStyle w:val="TableText"/>
              <w:tabs>
                <w:tab w:val="decimal" w:pos="407"/>
              </w:tabs>
              <w:rPr>
                <w:b/>
                <w:bCs/>
              </w:rPr>
            </w:pPr>
            <w:r w:rsidRPr="003B59E9">
              <w:rPr>
                <w:b/>
                <w:bCs/>
                <w:color w:val="000000"/>
              </w:rPr>
              <w:t>2.35</w:t>
            </w:r>
            <w:r w:rsidR="00C60144">
              <w:rPr>
                <w:b/>
                <w:bCs/>
                <w:color w:val="000000"/>
              </w:rPr>
              <w:t>0</w:t>
            </w:r>
          </w:p>
        </w:tc>
        <w:tc>
          <w:tcPr>
            <w:tcW w:w="1099" w:type="dxa"/>
            <w:shd w:val="clear" w:color="auto" w:fill="auto"/>
            <w:vAlign w:val="center"/>
          </w:tcPr>
          <w:p w:rsidR="003D7480" w:rsidRPr="003B59E9" w:rsidRDefault="003D7480" w:rsidP="0019423E">
            <w:pPr>
              <w:pStyle w:val="TableText"/>
              <w:jc w:val="center"/>
              <w:rPr>
                <w:b/>
              </w:rPr>
            </w:pPr>
            <w:r w:rsidRPr="003B59E9">
              <w:rPr>
                <w:b/>
                <w:bCs/>
                <w:color w:val="000000"/>
              </w:rPr>
              <w:t>6.629</w:t>
            </w:r>
          </w:p>
        </w:tc>
      </w:tr>
    </w:tbl>
    <w:p w:rsidR="003D7480" w:rsidRPr="00E312E8" w:rsidRDefault="003D7480" w:rsidP="003D7480">
      <w:pPr>
        <w:pStyle w:val="Heading3"/>
        <w:numPr>
          <w:ilvl w:val="0"/>
          <w:numId w:val="0"/>
        </w:numPr>
      </w:pPr>
      <w:r w:rsidRPr="00E312E8">
        <w:t>The research and evaluation work programme</w:t>
      </w:r>
    </w:p>
    <w:p w:rsidR="00954ABC" w:rsidRDefault="003D7480" w:rsidP="00954ABC">
      <w:pPr>
        <w:pStyle w:val="Heading4"/>
      </w:pPr>
      <w:r w:rsidRPr="00167158">
        <w:t>Strategic priority areas for 2019/20–21/22</w:t>
      </w:r>
    </w:p>
    <w:p w:rsidR="003D7480" w:rsidRPr="00954ABC" w:rsidRDefault="00954ABC" w:rsidP="00954ABC">
      <w:pPr>
        <w:keepNext/>
        <w:keepLines/>
        <w:spacing w:after="60"/>
        <w:rPr>
          <w:spacing w:val="-2"/>
        </w:rPr>
      </w:pPr>
      <w:r w:rsidRPr="00954ABC">
        <w:rPr>
          <w:spacing w:val="-2"/>
        </w:rPr>
        <w:t>The strategic priority areas are</w:t>
      </w:r>
      <w:r w:rsidR="003D7480" w:rsidRPr="00954ABC">
        <w:rPr>
          <w:spacing w:val="-2"/>
        </w:rPr>
        <w:t>:</w:t>
      </w:r>
    </w:p>
    <w:p w:rsidR="003D7480" w:rsidRDefault="00954ABC" w:rsidP="00954ABC">
      <w:pPr>
        <w:pStyle w:val="ListParagraph"/>
        <w:keepNext/>
        <w:keepLines/>
        <w:numPr>
          <w:ilvl w:val="0"/>
          <w:numId w:val="31"/>
        </w:numPr>
        <w:spacing w:after="60"/>
        <w:ind w:left="357" w:hanging="357"/>
        <w:contextualSpacing w:val="0"/>
        <w:rPr>
          <w:spacing w:val="-2"/>
        </w:rPr>
      </w:pPr>
      <w:r>
        <w:rPr>
          <w:spacing w:val="-2"/>
        </w:rPr>
        <w:t>o</w:t>
      </w:r>
      <w:r w:rsidR="003D7480">
        <w:rPr>
          <w:spacing w:val="-2"/>
        </w:rPr>
        <w:t>ngoing monitoring of the incidence of gambling behaviour and associated levels of harm through the Health and Lifestyle Survey to maintain a longitudinal time</w:t>
      </w:r>
      <w:r w:rsidR="004F6BB6">
        <w:rPr>
          <w:spacing w:val="-2"/>
        </w:rPr>
        <w:t>-</w:t>
      </w:r>
      <w:r w:rsidR="003D7480">
        <w:rPr>
          <w:spacing w:val="-2"/>
        </w:rPr>
        <w:t>series and inform strategic</w:t>
      </w:r>
      <w:r w:rsidR="004F6BB6">
        <w:rPr>
          <w:spacing w:val="-2"/>
        </w:rPr>
        <w:t>-</w:t>
      </w:r>
      <w:r w:rsidR="003D7480">
        <w:rPr>
          <w:spacing w:val="-2"/>
        </w:rPr>
        <w:t>level outcomes monitoring</w:t>
      </w:r>
    </w:p>
    <w:p w:rsidR="003D7480" w:rsidRPr="00954ABC" w:rsidRDefault="003D7480" w:rsidP="00954ABC">
      <w:pPr>
        <w:pStyle w:val="ListParagraph"/>
        <w:keepNext/>
        <w:keepLines/>
        <w:numPr>
          <w:ilvl w:val="0"/>
          <w:numId w:val="31"/>
        </w:numPr>
        <w:spacing w:after="60"/>
        <w:ind w:left="357" w:hanging="357"/>
        <w:contextualSpacing w:val="0"/>
        <w:rPr>
          <w:spacing w:val="-2"/>
        </w:rPr>
      </w:pPr>
      <w:r w:rsidRPr="00954ABC">
        <w:rPr>
          <w:spacing w:val="-2"/>
        </w:rPr>
        <w:t>researching gambling-related health inequities experienced by vulnerable at-risk populations, particularly M</w:t>
      </w:r>
      <w:r w:rsidRPr="00954ABC">
        <w:rPr>
          <w:rFonts w:hint="eastAsia"/>
          <w:spacing w:val="-2"/>
        </w:rPr>
        <w:t>ā</w:t>
      </w:r>
      <w:r w:rsidRPr="00954ABC">
        <w:rPr>
          <w:spacing w:val="-2"/>
        </w:rPr>
        <w:t xml:space="preserve">ori, Pacific peoples, Asian </w:t>
      </w:r>
      <w:r w:rsidR="0041671F">
        <w:rPr>
          <w:spacing w:val="-2"/>
        </w:rPr>
        <w:t xml:space="preserve">peoples </w:t>
      </w:r>
      <w:r w:rsidRPr="00954ABC">
        <w:rPr>
          <w:spacing w:val="-2"/>
        </w:rPr>
        <w:t xml:space="preserve">and youth/children, including the barriers to service </w:t>
      </w:r>
      <w:r w:rsidR="004F6BB6">
        <w:rPr>
          <w:spacing w:val="-2"/>
        </w:rPr>
        <w:t>use</w:t>
      </w:r>
      <w:r w:rsidR="004F6BB6" w:rsidRPr="00954ABC">
        <w:rPr>
          <w:spacing w:val="-2"/>
        </w:rPr>
        <w:t xml:space="preserve"> </w:t>
      </w:r>
      <w:r w:rsidRPr="00954ABC">
        <w:rPr>
          <w:spacing w:val="-2"/>
        </w:rPr>
        <w:t>and what might be done to remove them</w:t>
      </w:r>
    </w:p>
    <w:p w:rsidR="003D7480" w:rsidRDefault="003D7480" w:rsidP="00954ABC">
      <w:pPr>
        <w:pStyle w:val="ListParagraph"/>
        <w:keepNext/>
        <w:keepLines/>
        <w:numPr>
          <w:ilvl w:val="0"/>
          <w:numId w:val="31"/>
        </w:numPr>
        <w:spacing w:after="60"/>
        <w:ind w:left="357" w:hanging="357"/>
        <w:contextualSpacing w:val="0"/>
        <w:rPr>
          <w:spacing w:val="-2"/>
        </w:rPr>
      </w:pPr>
      <w:r w:rsidRPr="00422F6E">
        <w:rPr>
          <w:spacing w:val="-2"/>
        </w:rPr>
        <w:t>examin</w:t>
      </w:r>
      <w:r>
        <w:rPr>
          <w:spacing w:val="-2"/>
        </w:rPr>
        <w:t>ing</w:t>
      </w:r>
      <w:r w:rsidRPr="00422F6E">
        <w:rPr>
          <w:spacing w:val="-2"/>
        </w:rPr>
        <w:t xml:space="preserve"> the convergence of gaming and gambling on </w:t>
      </w:r>
      <w:r>
        <w:rPr>
          <w:spacing w:val="-2"/>
        </w:rPr>
        <w:t xml:space="preserve">the design and delivery of </w:t>
      </w:r>
      <w:r w:rsidRPr="00422F6E">
        <w:rPr>
          <w:spacing w:val="-2"/>
        </w:rPr>
        <w:t>new products</w:t>
      </w:r>
      <w:r>
        <w:rPr>
          <w:spacing w:val="-2"/>
        </w:rPr>
        <w:t xml:space="preserve"> </w:t>
      </w:r>
      <w:r w:rsidRPr="00954ABC">
        <w:rPr>
          <w:spacing w:val="-2"/>
        </w:rPr>
        <w:t xml:space="preserve">(eg, </w:t>
      </w:r>
      <w:r w:rsidR="005D4A5D">
        <w:rPr>
          <w:spacing w:val="-2"/>
        </w:rPr>
        <w:t>NZLC</w:t>
      </w:r>
      <w:r w:rsidRPr="00954ABC">
        <w:rPr>
          <w:spacing w:val="-2"/>
        </w:rPr>
        <w:t xml:space="preserve">’s online </w:t>
      </w:r>
      <w:r w:rsidR="005D4A5D">
        <w:rPr>
          <w:spacing w:val="-2"/>
        </w:rPr>
        <w:t>‘</w:t>
      </w:r>
      <w:r w:rsidRPr="00954ABC">
        <w:rPr>
          <w:spacing w:val="-2"/>
        </w:rPr>
        <w:t>instant win</w:t>
      </w:r>
      <w:r w:rsidR="005D4A5D">
        <w:rPr>
          <w:spacing w:val="-2"/>
        </w:rPr>
        <w:t>’</w:t>
      </w:r>
      <w:r w:rsidRPr="00954ABC">
        <w:rPr>
          <w:spacing w:val="-2"/>
        </w:rPr>
        <w:t xml:space="preserve"> and </w:t>
      </w:r>
      <w:r w:rsidR="005D4A5D">
        <w:rPr>
          <w:spacing w:val="-2"/>
        </w:rPr>
        <w:t xml:space="preserve">other </w:t>
      </w:r>
      <w:r w:rsidRPr="00954ABC">
        <w:rPr>
          <w:spacing w:val="-2"/>
        </w:rPr>
        <w:t>online offerings from a variety of sources)</w:t>
      </w:r>
      <w:r w:rsidRPr="00422F6E">
        <w:rPr>
          <w:spacing w:val="-2"/>
        </w:rPr>
        <w:t xml:space="preserve">, </w:t>
      </w:r>
      <w:r w:rsidR="004F6BB6">
        <w:rPr>
          <w:spacing w:val="-2"/>
        </w:rPr>
        <w:t xml:space="preserve">along with </w:t>
      </w:r>
      <w:r>
        <w:rPr>
          <w:spacing w:val="-2"/>
        </w:rPr>
        <w:t xml:space="preserve">their effects on gambling participation in the population and </w:t>
      </w:r>
      <w:r w:rsidR="004F6BB6">
        <w:rPr>
          <w:spacing w:val="-2"/>
        </w:rPr>
        <w:t xml:space="preserve">on </w:t>
      </w:r>
      <w:r>
        <w:rPr>
          <w:spacing w:val="-2"/>
        </w:rPr>
        <w:t>harm, in particular for vulnerable populations such as children and youth</w:t>
      </w:r>
      <w:r w:rsidRPr="00422F6E">
        <w:rPr>
          <w:spacing w:val="-2"/>
        </w:rPr>
        <w:t xml:space="preserve"> </w:t>
      </w:r>
    </w:p>
    <w:p w:rsidR="003D7480" w:rsidRDefault="003D7480" w:rsidP="00954ABC">
      <w:pPr>
        <w:pStyle w:val="ListParagraph"/>
        <w:keepNext/>
        <w:keepLines/>
        <w:numPr>
          <w:ilvl w:val="0"/>
          <w:numId w:val="31"/>
        </w:numPr>
        <w:spacing w:after="60"/>
        <w:ind w:left="357" w:hanging="357"/>
        <w:contextualSpacing w:val="0"/>
        <w:rPr>
          <w:spacing w:val="-2"/>
        </w:rPr>
      </w:pPr>
      <w:r w:rsidRPr="00582382">
        <w:rPr>
          <w:spacing w:val="-2"/>
        </w:rPr>
        <w:t>ex</w:t>
      </w:r>
      <w:r>
        <w:rPr>
          <w:spacing w:val="-2"/>
        </w:rPr>
        <w:t>amining</w:t>
      </w:r>
      <w:r w:rsidRPr="00582382">
        <w:rPr>
          <w:spacing w:val="-2"/>
        </w:rPr>
        <w:t xml:space="preserve"> the effect of </w:t>
      </w:r>
      <w:r w:rsidR="005D4A5D">
        <w:rPr>
          <w:spacing w:val="-2"/>
        </w:rPr>
        <w:t>‘</w:t>
      </w:r>
      <w:r w:rsidRPr="00582382">
        <w:rPr>
          <w:spacing w:val="-2"/>
        </w:rPr>
        <w:t>sinking</w:t>
      </w:r>
      <w:r w:rsidR="00A222E5">
        <w:rPr>
          <w:spacing w:val="-2"/>
        </w:rPr>
        <w:t>-</w:t>
      </w:r>
      <w:r w:rsidRPr="00582382">
        <w:rPr>
          <w:spacing w:val="-2"/>
        </w:rPr>
        <w:t>lid</w:t>
      </w:r>
      <w:r w:rsidR="005D4A5D">
        <w:rPr>
          <w:spacing w:val="-2"/>
        </w:rPr>
        <w:t>’</w:t>
      </w:r>
      <w:r w:rsidRPr="00582382">
        <w:rPr>
          <w:spacing w:val="-2"/>
        </w:rPr>
        <w:t xml:space="preserve"> policies on gambling harm reduction</w:t>
      </w:r>
      <w:r>
        <w:rPr>
          <w:spacing w:val="-2"/>
        </w:rPr>
        <w:t xml:space="preserve">, </w:t>
      </w:r>
      <w:r w:rsidR="00C46164">
        <w:rPr>
          <w:spacing w:val="-2"/>
        </w:rPr>
        <w:t xml:space="preserve">as well as </w:t>
      </w:r>
      <w:r>
        <w:rPr>
          <w:spacing w:val="-2"/>
        </w:rPr>
        <w:t>the</w:t>
      </w:r>
      <w:r w:rsidRPr="00582382">
        <w:rPr>
          <w:spacing w:val="-2"/>
        </w:rPr>
        <w:t xml:space="preserve"> socioeconomic distribution of gambling </w:t>
      </w:r>
      <w:r>
        <w:rPr>
          <w:spacing w:val="-2"/>
        </w:rPr>
        <w:t xml:space="preserve">machines and </w:t>
      </w:r>
      <w:r w:rsidRPr="00582382">
        <w:rPr>
          <w:spacing w:val="-2"/>
        </w:rPr>
        <w:t>venues in New Zealand and the</w:t>
      </w:r>
      <w:r>
        <w:rPr>
          <w:spacing w:val="-2"/>
        </w:rPr>
        <w:t xml:space="preserve"> social trade-offs involved</w:t>
      </w:r>
      <w:r w:rsidRPr="00582382">
        <w:rPr>
          <w:spacing w:val="-2"/>
        </w:rPr>
        <w:t xml:space="preserve"> </w:t>
      </w:r>
    </w:p>
    <w:p w:rsidR="003D7480" w:rsidRDefault="003D7480" w:rsidP="00954ABC">
      <w:pPr>
        <w:pStyle w:val="ListParagraph"/>
        <w:keepNext/>
        <w:keepLines/>
        <w:numPr>
          <w:ilvl w:val="0"/>
          <w:numId w:val="31"/>
        </w:numPr>
        <w:spacing w:after="60"/>
        <w:ind w:left="357" w:hanging="357"/>
        <w:contextualSpacing w:val="0"/>
        <w:rPr>
          <w:spacing w:val="-2"/>
        </w:rPr>
      </w:pPr>
      <w:r>
        <w:rPr>
          <w:spacing w:val="-2"/>
        </w:rPr>
        <w:t>investigating the development and use of internet</w:t>
      </w:r>
      <w:r w:rsidR="004F6BB6">
        <w:rPr>
          <w:spacing w:val="-2"/>
        </w:rPr>
        <w:t>-</w:t>
      </w:r>
      <w:r>
        <w:rPr>
          <w:spacing w:val="-2"/>
        </w:rPr>
        <w:t>based forms of gambling</w:t>
      </w:r>
    </w:p>
    <w:p w:rsidR="003D7480" w:rsidRPr="00167158" w:rsidRDefault="003D7480" w:rsidP="00954ABC">
      <w:pPr>
        <w:pStyle w:val="ListParagraph"/>
        <w:keepNext/>
        <w:keepLines/>
        <w:numPr>
          <w:ilvl w:val="0"/>
          <w:numId w:val="31"/>
        </w:numPr>
        <w:spacing w:after="60"/>
        <w:ind w:left="357" w:hanging="357"/>
        <w:contextualSpacing w:val="0"/>
        <w:rPr>
          <w:spacing w:val="-2"/>
        </w:rPr>
      </w:pPr>
      <w:r>
        <w:rPr>
          <w:spacing w:val="-2"/>
        </w:rPr>
        <w:t xml:space="preserve">increasing the use of process and outcomes </w:t>
      </w:r>
      <w:r w:rsidRPr="00A528EA">
        <w:rPr>
          <w:spacing w:val="-2"/>
        </w:rPr>
        <w:t>evaluation</w:t>
      </w:r>
      <w:r>
        <w:rPr>
          <w:spacing w:val="-2"/>
        </w:rPr>
        <w:t>s with new intervention service delivery models, including the use of new technology.</w:t>
      </w:r>
    </w:p>
    <w:p w:rsidR="003D7480" w:rsidRPr="0019799B" w:rsidRDefault="003D7480" w:rsidP="00954ABC">
      <w:pPr>
        <w:pStyle w:val="Heading4"/>
        <w:keepLines/>
      </w:pPr>
      <w:r w:rsidRPr="0019799B">
        <w:t xml:space="preserve">Research and evaluation </w:t>
      </w:r>
      <w:r>
        <w:t xml:space="preserve">procurement </w:t>
      </w:r>
      <w:r w:rsidRPr="0019799B">
        <w:t>approach</w:t>
      </w:r>
    </w:p>
    <w:p w:rsidR="003D7480" w:rsidRDefault="003D7480" w:rsidP="00E93A4A">
      <w:pPr>
        <w:keepNext/>
        <w:keepLines/>
        <w:spacing w:after="60"/>
        <w:rPr>
          <w:spacing w:val="-2"/>
        </w:rPr>
      </w:pPr>
      <w:r>
        <w:rPr>
          <w:spacing w:val="-2"/>
        </w:rPr>
        <w:t>Delivering the research and evaluation programme will involve:</w:t>
      </w:r>
    </w:p>
    <w:p w:rsidR="003D7480" w:rsidRDefault="00732F46" w:rsidP="00E93A4A">
      <w:pPr>
        <w:pStyle w:val="ListParagraph"/>
        <w:keepNext/>
        <w:keepLines/>
        <w:numPr>
          <w:ilvl w:val="0"/>
          <w:numId w:val="31"/>
        </w:numPr>
        <w:spacing w:after="60"/>
        <w:ind w:left="357" w:hanging="357"/>
        <w:contextualSpacing w:val="0"/>
        <w:rPr>
          <w:spacing w:val="-2"/>
        </w:rPr>
      </w:pPr>
      <w:r>
        <w:rPr>
          <w:spacing w:val="-2"/>
        </w:rPr>
        <w:t>using</w:t>
      </w:r>
      <w:r w:rsidR="003D7480">
        <w:rPr>
          <w:spacing w:val="-2"/>
        </w:rPr>
        <w:t xml:space="preserve"> the All of Government Procurement panel where possible</w:t>
      </w:r>
    </w:p>
    <w:p w:rsidR="003D7480" w:rsidRPr="0019799B" w:rsidRDefault="003D7480" w:rsidP="003D7480">
      <w:pPr>
        <w:pStyle w:val="ListParagraph"/>
        <w:numPr>
          <w:ilvl w:val="0"/>
          <w:numId w:val="31"/>
        </w:numPr>
        <w:spacing w:after="60"/>
        <w:ind w:left="357" w:hanging="357"/>
        <w:contextualSpacing w:val="0"/>
        <w:rPr>
          <w:spacing w:val="-2"/>
        </w:rPr>
      </w:pPr>
      <w:r w:rsidRPr="0019799B">
        <w:rPr>
          <w:spacing w:val="-2"/>
        </w:rPr>
        <w:t xml:space="preserve">promoting the application of </w:t>
      </w:r>
      <w:r>
        <w:rPr>
          <w:spacing w:val="-2"/>
        </w:rPr>
        <w:t>n</w:t>
      </w:r>
      <w:r w:rsidRPr="0019799B">
        <w:rPr>
          <w:spacing w:val="-2"/>
        </w:rPr>
        <w:t>ew disciplinary research and evaluation perspectives to the gambling harm minimisation research field</w:t>
      </w:r>
      <w:r w:rsidR="00C46164">
        <w:rPr>
          <w:spacing w:val="-2"/>
        </w:rPr>
        <w:t>;</w:t>
      </w:r>
      <w:r w:rsidRPr="0019799B">
        <w:rPr>
          <w:spacing w:val="-2"/>
        </w:rPr>
        <w:t xml:space="preserve"> for example</w:t>
      </w:r>
      <w:r w:rsidR="00C46164">
        <w:rPr>
          <w:spacing w:val="-2"/>
        </w:rPr>
        <w:t>,</w:t>
      </w:r>
      <w:r w:rsidRPr="0019799B">
        <w:rPr>
          <w:spacing w:val="-2"/>
        </w:rPr>
        <w:t xml:space="preserve"> behavioural economics, econometric analysis, and operational and translational research </w:t>
      </w:r>
    </w:p>
    <w:p w:rsidR="003D7480" w:rsidRPr="00582382" w:rsidRDefault="003D7480" w:rsidP="003D7480">
      <w:pPr>
        <w:pStyle w:val="ListParagraph"/>
        <w:numPr>
          <w:ilvl w:val="0"/>
          <w:numId w:val="31"/>
        </w:numPr>
        <w:spacing w:after="60"/>
        <w:ind w:left="357" w:hanging="357"/>
        <w:contextualSpacing w:val="0"/>
        <w:rPr>
          <w:spacing w:val="-2"/>
        </w:rPr>
      </w:pPr>
      <w:r w:rsidRPr="00582382">
        <w:rPr>
          <w:spacing w:val="-2"/>
        </w:rPr>
        <w:t>help</w:t>
      </w:r>
      <w:r>
        <w:rPr>
          <w:spacing w:val="-2"/>
        </w:rPr>
        <w:t>ing</w:t>
      </w:r>
      <w:r w:rsidRPr="00582382">
        <w:rPr>
          <w:spacing w:val="-2"/>
        </w:rPr>
        <w:t xml:space="preserve"> build research capability and capacity in gambling harm minimisation studies, such as small projects suitable for </w:t>
      </w:r>
      <w:r w:rsidR="00D729F8">
        <w:rPr>
          <w:spacing w:val="-2"/>
        </w:rPr>
        <w:t>m</w:t>
      </w:r>
      <w:r w:rsidRPr="00582382">
        <w:rPr>
          <w:spacing w:val="-2"/>
        </w:rPr>
        <w:t>aster</w:t>
      </w:r>
      <w:r w:rsidR="00D729F8">
        <w:rPr>
          <w:spacing w:val="-2"/>
        </w:rPr>
        <w:t>’</w:t>
      </w:r>
      <w:r w:rsidRPr="00582382">
        <w:rPr>
          <w:spacing w:val="-2"/>
        </w:rPr>
        <w:t xml:space="preserve">s or PhD students </w:t>
      </w:r>
      <w:r>
        <w:rPr>
          <w:spacing w:val="-2"/>
        </w:rPr>
        <w:t>where possible</w:t>
      </w:r>
    </w:p>
    <w:p w:rsidR="003D7480" w:rsidRPr="00582382" w:rsidRDefault="003D7480" w:rsidP="003D7480">
      <w:pPr>
        <w:pStyle w:val="ListParagraph"/>
        <w:numPr>
          <w:ilvl w:val="0"/>
          <w:numId w:val="31"/>
        </w:numPr>
        <w:spacing w:after="60"/>
        <w:ind w:left="357" w:hanging="357"/>
        <w:contextualSpacing w:val="0"/>
        <w:rPr>
          <w:spacing w:val="-2"/>
        </w:rPr>
      </w:pPr>
      <w:r w:rsidRPr="00582382">
        <w:rPr>
          <w:spacing w:val="-2"/>
        </w:rPr>
        <w:t>promot</w:t>
      </w:r>
      <w:r>
        <w:rPr>
          <w:spacing w:val="-2"/>
        </w:rPr>
        <w:t>ing</w:t>
      </w:r>
      <w:r w:rsidRPr="00582382">
        <w:rPr>
          <w:spacing w:val="-2"/>
        </w:rPr>
        <w:t xml:space="preserve"> national and international collaboration of benefit to New Zealand </w:t>
      </w:r>
    </w:p>
    <w:p w:rsidR="003D7480" w:rsidRPr="009C2398" w:rsidRDefault="003D7480" w:rsidP="003D7480">
      <w:pPr>
        <w:pStyle w:val="ListParagraph"/>
        <w:numPr>
          <w:ilvl w:val="0"/>
          <w:numId w:val="31"/>
        </w:numPr>
        <w:spacing w:after="60"/>
        <w:ind w:left="357" w:hanging="357"/>
        <w:contextualSpacing w:val="0"/>
      </w:pPr>
      <w:r>
        <w:rPr>
          <w:spacing w:val="-2"/>
        </w:rPr>
        <w:t>p</w:t>
      </w:r>
      <w:r w:rsidRPr="009C2398">
        <w:rPr>
          <w:spacing w:val="-2"/>
        </w:rPr>
        <w:t>rocuring gambling components in existing large</w:t>
      </w:r>
      <w:r w:rsidR="00D729F8">
        <w:rPr>
          <w:spacing w:val="-2"/>
        </w:rPr>
        <w:t>-</w:t>
      </w:r>
      <w:r w:rsidRPr="009C2398">
        <w:rPr>
          <w:spacing w:val="-2"/>
        </w:rPr>
        <w:t>c</w:t>
      </w:r>
      <w:r>
        <w:rPr>
          <w:spacing w:val="-2"/>
        </w:rPr>
        <w:t>ohort longitudinal studies such as the Pacific Island Families Study and Growing Up in New Zealand, where appropriate.</w:t>
      </w:r>
    </w:p>
    <w:p w:rsidR="003D7480" w:rsidRDefault="003D7480" w:rsidP="003D7480">
      <w:pPr>
        <w:pStyle w:val="ListParagraph"/>
        <w:spacing w:after="60"/>
        <w:ind w:left="357"/>
        <w:contextualSpacing w:val="0"/>
      </w:pPr>
    </w:p>
    <w:p w:rsidR="003D7480" w:rsidRPr="006A52E8" w:rsidRDefault="003D7480" w:rsidP="003D7480">
      <w:pPr>
        <w:pStyle w:val="Heading4"/>
      </w:pPr>
      <w:r w:rsidRPr="006A52E8">
        <w:lastRenderedPageBreak/>
        <w:t>Audits</w:t>
      </w:r>
    </w:p>
    <w:p w:rsidR="003D7480" w:rsidRDefault="003D7480" w:rsidP="003D7480">
      <w:r>
        <w:t>The Ministry’s audit team will undertake audits of contracted services in line with the Ministry’s audit policy.</w:t>
      </w:r>
    </w:p>
    <w:p w:rsidR="003D7480" w:rsidRDefault="003D7480" w:rsidP="003D7480"/>
    <w:p w:rsidR="003D7480" w:rsidRDefault="003D7480" w:rsidP="003D7480">
      <w:r>
        <w:t>The Ministry has increased the evaluation budget to accommodate an increased evaluation programme. This may also include periodic audits from time to time where the audit requires clinical independence.</w:t>
      </w:r>
    </w:p>
    <w:p w:rsidR="003D7480" w:rsidRDefault="003D7480" w:rsidP="003D7480"/>
    <w:p w:rsidR="003D7480" w:rsidRDefault="003D7480" w:rsidP="003D7480">
      <w:r>
        <w:t xml:space="preserve">Where appropriate, the Ministry will apply lessons learned from audits or evaluations to future contracts. For example, a </w:t>
      </w:r>
      <w:r w:rsidRPr="00C10A99">
        <w:t xml:space="preserve">governance and financial audit of intervention and public health </w:t>
      </w:r>
      <w:r>
        <w:t xml:space="preserve">service providers </w:t>
      </w:r>
      <w:r w:rsidRPr="00C10A99">
        <w:t>undertaken during the 2017/2018 financial year</w:t>
      </w:r>
      <w:r>
        <w:t xml:space="preserve"> provides a baseline for assessing progress to strengthen the governance of funding agreements.</w:t>
      </w:r>
    </w:p>
    <w:p w:rsidR="0088150A" w:rsidRDefault="0088150A" w:rsidP="003B59E9">
      <w:pPr>
        <w:pStyle w:val="Heading2"/>
      </w:pPr>
      <w:bookmarkStart w:id="226" w:name="_Toc528934677"/>
      <w:bookmarkStart w:id="227" w:name="_Toc528934678"/>
      <w:bookmarkStart w:id="228" w:name="_Toc530487414"/>
      <w:bookmarkStart w:id="229" w:name="_Toc9239607"/>
      <w:bookmarkStart w:id="230" w:name="_Toc229279767"/>
      <w:bookmarkStart w:id="231" w:name="_Toc230066524"/>
      <w:bookmarkStart w:id="232" w:name="_Toc329860060"/>
      <w:bookmarkEnd w:id="214"/>
      <w:bookmarkEnd w:id="215"/>
      <w:bookmarkEnd w:id="216"/>
      <w:bookmarkEnd w:id="217"/>
      <w:bookmarkEnd w:id="218"/>
      <w:bookmarkEnd w:id="219"/>
      <w:bookmarkEnd w:id="221"/>
      <w:bookmarkEnd w:id="222"/>
      <w:bookmarkEnd w:id="223"/>
      <w:bookmarkEnd w:id="226"/>
      <w:bookmarkEnd w:id="227"/>
      <w:r>
        <w:t>New service and innovation</w:t>
      </w:r>
      <w:r w:rsidRPr="00124B4E">
        <w:t xml:space="preserve"> </w:t>
      </w:r>
      <w:r>
        <w:t>pilots</w:t>
      </w:r>
      <w:bookmarkEnd w:id="228"/>
      <w:bookmarkEnd w:id="229"/>
    </w:p>
    <w:p w:rsidR="0088150A" w:rsidRPr="00883894" w:rsidRDefault="0088150A" w:rsidP="003B59E9">
      <w:r w:rsidRPr="006A52E8">
        <w:t>Th</w:t>
      </w:r>
      <w:r w:rsidRPr="00883894">
        <w:t xml:space="preserve">e Ministry intends to develop new service models to address areas of persistent harm and improve service effectiveness. </w:t>
      </w:r>
      <w:r>
        <w:t xml:space="preserve">As a </w:t>
      </w:r>
      <w:r w:rsidRPr="00883894">
        <w:t>priorit</w:t>
      </w:r>
      <w:r w:rsidRPr="006A52E8">
        <w:t>y</w:t>
      </w:r>
      <w:r>
        <w:t xml:space="preserve">, it will </w:t>
      </w:r>
      <w:r w:rsidRPr="006A52E8">
        <w:t>pilot and assess</w:t>
      </w:r>
      <w:r>
        <w:t>:</w:t>
      </w:r>
    </w:p>
    <w:p w:rsidR="00A10EC0" w:rsidRDefault="0088150A" w:rsidP="003B59E9">
      <w:pPr>
        <w:pStyle w:val="Bullet"/>
      </w:pPr>
      <w:r w:rsidRPr="006A52E8">
        <w:t xml:space="preserve">new ways of </w:t>
      </w:r>
      <w:r>
        <w:t xml:space="preserve">providing </w:t>
      </w:r>
      <w:r w:rsidRPr="006A52E8">
        <w:t>public health and intervention services in geographical areas or communities that are currently under-serviced, to address inequities</w:t>
      </w:r>
    </w:p>
    <w:p w:rsidR="0088150A" w:rsidRPr="006A52E8" w:rsidRDefault="0088150A" w:rsidP="003B59E9">
      <w:pPr>
        <w:pStyle w:val="Bullet"/>
      </w:pPr>
      <w:r w:rsidRPr="006A52E8">
        <w:t>innovative uses of technology to manage or mitigate gambling harm</w:t>
      </w:r>
    </w:p>
    <w:p w:rsidR="0088150A" w:rsidRPr="006A52E8" w:rsidRDefault="0088150A" w:rsidP="003B59E9">
      <w:pPr>
        <w:pStyle w:val="Bullet"/>
      </w:pPr>
      <w:r>
        <w:t>peer-</w:t>
      </w:r>
      <w:r w:rsidRPr="006A52E8">
        <w:t>support services and a small amount of residential care for gambling harm</w:t>
      </w:r>
      <w:r>
        <w:t>.</w:t>
      </w:r>
    </w:p>
    <w:p w:rsidR="0088150A" w:rsidRDefault="0088150A" w:rsidP="003B59E9"/>
    <w:p w:rsidR="0088150A" w:rsidRPr="00FF734C" w:rsidRDefault="0088150A" w:rsidP="005A26D2">
      <w:pPr>
        <w:pStyle w:val="Table"/>
      </w:pPr>
      <w:bookmarkStart w:id="233" w:name="_Toc530487441"/>
      <w:bookmarkStart w:id="234" w:name="_Toc4156637"/>
      <w:bookmarkStart w:id="235" w:name="_Toc8398937"/>
      <w:r w:rsidRPr="00FF734C">
        <w:t xml:space="preserve">Table </w:t>
      </w:r>
      <w:r w:rsidR="00762F08">
        <w:rPr>
          <w:noProof/>
        </w:rPr>
        <w:fldChar w:fldCharType="begin"/>
      </w:r>
      <w:r w:rsidR="00762F08">
        <w:rPr>
          <w:noProof/>
        </w:rPr>
        <w:instrText xml:space="preserve"> SEQ Table \* ARABIC </w:instrText>
      </w:r>
      <w:r w:rsidR="00762F08">
        <w:rPr>
          <w:noProof/>
        </w:rPr>
        <w:fldChar w:fldCharType="separate"/>
      </w:r>
      <w:r w:rsidR="0002049A">
        <w:rPr>
          <w:noProof/>
        </w:rPr>
        <w:t>19</w:t>
      </w:r>
      <w:r w:rsidR="00762F08">
        <w:rPr>
          <w:noProof/>
        </w:rPr>
        <w:fldChar w:fldCharType="end"/>
      </w:r>
      <w:r w:rsidRPr="00FF734C">
        <w:t xml:space="preserve">: </w:t>
      </w:r>
      <w:r w:rsidR="00222302">
        <w:t>B</w:t>
      </w:r>
      <w:r w:rsidRPr="00FF734C">
        <w:t xml:space="preserve">udget for </w:t>
      </w:r>
      <w:r>
        <w:t>new service and innovation</w:t>
      </w:r>
      <w:r w:rsidRPr="00FF734C">
        <w:t xml:space="preserve"> </w:t>
      </w:r>
      <w:r>
        <w:t>pilots</w:t>
      </w:r>
      <w:r w:rsidRPr="00FF734C">
        <w:t xml:space="preserve"> (GST</w:t>
      </w:r>
      <w:r w:rsidR="00133362">
        <w:t xml:space="preserve"> </w:t>
      </w:r>
      <w:r w:rsidRPr="00FF734C">
        <w:t>exclusive), 2019/20</w:t>
      </w:r>
      <w:r>
        <w:t>–</w:t>
      </w:r>
      <w:r w:rsidRPr="00FF734C">
        <w:t>2021/22</w:t>
      </w:r>
      <w:bookmarkEnd w:id="233"/>
      <w:bookmarkEnd w:id="234"/>
      <w:bookmarkEnd w:id="235"/>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00" w:firstRow="0" w:lastRow="0" w:firstColumn="0" w:lastColumn="0" w:noHBand="1" w:noVBand="1"/>
      </w:tblPr>
      <w:tblGrid>
        <w:gridCol w:w="4253"/>
        <w:gridCol w:w="956"/>
        <w:gridCol w:w="957"/>
        <w:gridCol w:w="957"/>
        <w:gridCol w:w="957"/>
      </w:tblGrid>
      <w:tr w:rsidR="0088150A" w:rsidRPr="00B66707" w:rsidTr="0062363F">
        <w:trPr>
          <w:cantSplit/>
        </w:trPr>
        <w:tc>
          <w:tcPr>
            <w:tcW w:w="4253" w:type="dxa"/>
            <w:tcBorders>
              <w:top w:val="nil"/>
              <w:bottom w:val="nil"/>
            </w:tcBorders>
            <w:shd w:val="clear" w:color="auto" w:fill="D9D9D9" w:themeFill="background1" w:themeFillShade="D9"/>
            <w:tcMar>
              <w:top w:w="15" w:type="dxa"/>
              <w:left w:w="57" w:type="dxa"/>
              <w:bottom w:w="0" w:type="dxa"/>
              <w:right w:w="57" w:type="dxa"/>
            </w:tcMar>
            <w:hideMark/>
          </w:tcPr>
          <w:p w:rsidR="0088150A" w:rsidRPr="003B59E9" w:rsidRDefault="0088150A" w:rsidP="003B59E9">
            <w:pPr>
              <w:pStyle w:val="TableText"/>
              <w:rPr>
                <w:b/>
              </w:rPr>
            </w:pPr>
            <w:r w:rsidRPr="003B59E9">
              <w:rPr>
                <w:b/>
              </w:rPr>
              <w:t>Service area</w:t>
            </w:r>
          </w:p>
        </w:tc>
        <w:tc>
          <w:tcPr>
            <w:tcW w:w="956" w:type="dxa"/>
            <w:tcBorders>
              <w:top w:val="nil"/>
              <w:bottom w:val="nil"/>
            </w:tcBorders>
            <w:shd w:val="clear" w:color="auto" w:fill="D9D9D9" w:themeFill="background1" w:themeFillShade="D9"/>
            <w:tcMar>
              <w:top w:w="15" w:type="dxa"/>
              <w:left w:w="57" w:type="dxa"/>
              <w:bottom w:w="0" w:type="dxa"/>
              <w:right w:w="57" w:type="dxa"/>
            </w:tcMar>
            <w:hideMark/>
          </w:tcPr>
          <w:p w:rsidR="0088150A" w:rsidRPr="003B59E9" w:rsidRDefault="0088150A" w:rsidP="003B59E9">
            <w:pPr>
              <w:pStyle w:val="TableText"/>
              <w:jc w:val="center"/>
              <w:rPr>
                <w:b/>
              </w:rPr>
            </w:pPr>
            <w:r w:rsidRPr="003B59E9">
              <w:rPr>
                <w:b/>
              </w:rPr>
              <w:t>2019/20</w:t>
            </w:r>
            <w:r w:rsidRPr="003B59E9">
              <w:rPr>
                <w:b/>
              </w:rPr>
              <w:br/>
              <w:t>($m)</w:t>
            </w:r>
          </w:p>
        </w:tc>
        <w:tc>
          <w:tcPr>
            <w:tcW w:w="957" w:type="dxa"/>
            <w:tcBorders>
              <w:top w:val="nil"/>
              <w:bottom w:val="nil"/>
            </w:tcBorders>
            <w:shd w:val="clear" w:color="auto" w:fill="D9D9D9" w:themeFill="background1" w:themeFillShade="D9"/>
            <w:tcMar>
              <w:top w:w="15" w:type="dxa"/>
              <w:left w:w="57" w:type="dxa"/>
              <w:bottom w:w="0" w:type="dxa"/>
              <w:right w:w="57" w:type="dxa"/>
            </w:tcMar>
            <w:hideMark/>
          </w:tcPr>
          <w:p w:rsidR="0088150A" w:rsidRPr="003B59E9" w:rsidRDefault="0088150A" w:rsidP="003B59E9">
            <w:pPr>
              <w:pStyle w:val="TableText"/>
              <w:jc w:val="center"/>
              <w:rPr>
                <w:b/>
              </w:rPr>
            </w:pPr>
            <w:r w:rsidRPr="003B59E9">
              <w:rPr>
                <w:b/>
              </w:rPr>
              <w:t>2020/21</w:t>
            </w:r>
            <w:r w:rsidRPr="003B59E9">
              <w:rPr>
                <w:b/>
              </w:rPr>
              <w:br/>
              <w:t>($m)</w:t>
            </w:r>
          </w:p>
        </w:tc>
        <w:tc>
          <w:tcPr>
            <w:tcW w:w="957" w:type="dxa"/>
            <w:tcBorders>
              <w:top w:val="nil"/>
              <w:bottom w:val="nil"/>
            </w:tcBorders>
            <w:shd w:val="clear" w:color="auto" w:fill="D9D9D9" w:themeFill="background1" w:themeFillShade="D9"/>
            <w:tcMar>
              <w:top w:w="15" w:type="dxa"/>
              <w:left w:w="57" w:type="dxa"/>
              <w:bottom w:w="0" w:type="dxa"/>
              <w:right w:w="57" w:type="dxa"/>
            </w:tcMar>
            <w:hideMark/>
          </w:tcPr>
          <w:p w:rsidR="0088150A" w:rsidRPr="003B59E9" w:rsidRDefault="0088150A" w:rsidP="003B59E9">
            <w:pPr>
              <w:pStyle w:val="TableText"/>
              <w:jc w:val="center"/>
              <w:rPr>
                <w:b/>
              </w:rPr>
            </w:pPr>
            <w:r w:rsidRPr="003B59E9">
              <w:rPr>
                <w:b/>
              </w:rPr>
              <w:t>2021/22</w:t>
            </w:r>
            <w:r w:rsidRPr="003B59E9">
              <w:rPr>
                <w:b/>
              </w:rPr>
              <w:br/>
              <w:t>($m)</w:t>
            </w:r>
          </w:p>
        </w:tc>
        <w:tc>
          <w:tcPr>
            <w:tcW w:w="957" w:type="dxa"/>
            <w:tcBorders>
              <w:top w:val="nil"/>
              <w:bottom w:val="nil"/>
            </w:tcBorders>
            <w:shd w:val="clear" w:color="auto" w:fill="D9D9D9" w:themeFill="background1" w:themeFillShade="D9"/>
            <w:tcMar>
              <w:top w:w="15" w:type="dxa"/>
              <w:left w:w="57" w:type="dxa"/>
              <w:bottom w:w="0" w:type="dxa"/>
              <w:right w:w="57" w:type="dxa"/>
            </w:tcMar>
            <w:hideMark/>
          </w:tcPr>
          <w:p w:rsidR="0088150A" w:rsidRPr="003B59E9" w:rsidRDefault="0088150A" w:rsidP="003B59E9">
            <w:pPr>
              <w:pStyle w:val="TableText"/>
              <w:jc w:val="center"/>
              <w:rPr>
                <w:b/>
              </w:rPr>
            </w:pPr>
            <w:r w:rsidRPr="003B59E9">
              <w:rPr>
                <w:b/>
              </w:rPr>
              <w:t>Total</w:t>
            </w:r>
            <w:r w:rsidRPr="003B59E9">
              <w:rPr>
                <w:b/>
              </w:rPr>
              <w:br/>
              <w:t>($m)</w:t>
            </w:r>
          </w:p>
        </w:tc>
      </w:tr>
      <w:tr w:rsidR="0088150A" w:rsidRPr="00B66707" w:rsidTr="0062363F">
        <w:trPr>
          <w:cantSplit/>
        </w:trPr>
        <w:tc>
          <w:tcPr>
            <w:tcW w:w="4253" w:type="dxa"/>
            <w:tcBorders>
              <w:top w:val="nil"/>
            </w:tcBorders>
            <w:shd w:val="clear" w:color="auto" w:fill="auto"/>
            <w:tcMar>
              <w:top w:w="15" w:type="dxa"/>
              <w:left w:w="57" w:type="dxa"/>
              <w:bottom w:w="0" w:type="dxa"/>
              <w:right w:w="57" w:type="dxa"/>
            </w:tcMar>
            <w:hideMark/>
          </w:tcPr>
          <w:p w:rsidR="0088150A" w:rsidRPr="003C32A5" w:rsidRDefault="0088150A" w:rsidP="003B59E9">
            <w:pPr>
              <w:pStyle w:val="TableText"/>
            </w:pPr>
            <w:r w:rsidRPr="003C32A5">
              <w:t>Pilots to address inequity (public he</w:t>
            </w:r>
            <w:r w:rsidR="003B59E9">
              <w:t>alth and intervention services)</w:t>
            </w:r>
          </w:p>
        </w:tc>
        <w:tc>
          <w:tcPr>
            <w:tcW w:w="956" w:type="dxa"/>
            <w:tcBorders>
              <w:top w:val="nil"/>
            </w:tcBorders>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0.700</w:t>
            </w:r>
          </w:p>
        </w:tc>
        <w:tc>
          <w:tcPr>
            <w:tcW w:w="957" w:type="dxa"/>
            <w:tcBorders>
              <w:top w:val="nil"/>
            </w:tcBorders>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0.800</w:t>
            </w:r>
          </w:p>
        </w:tc>
        <w:tc>
          <w:tcPr>
            <w:tcW w:w="957" w:type="dxa"/>
            <w:tcBorders>
              <w:top w:val="nil"/>
            </w:tcBorders>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0.800</w:t>
            </w:r>
          </w:p>
        </w:tc>
        <w:tc>
          <w:tcPr>
            <w:tcW w:w="957" w:type="dxa"/>
            <w:tcBorders>
              <w:top w:val="nil"/>
            </w:tcBorders>
            <w:shd w:val="clear" w:color="auto" w:fill="auto"/>
            <w:tcMar>
              <w:top w:w="15" w:type="dxa"/>
              <w:left w:w="57" w:type="dxa"/>
              <w:bottom w:w="0" w:type="dxa"/>
              <w:right w:w="57" w:type="dxa"/>
            </w:tcMar>
            <w:hideMark/>
          </w:tcPr>
          <w:p w:rsidR="0088150A" w:rsidRPr="003C32A5" w:rsidRDefault="008C058D" w:rsidP="008C058D">
            <w:pPr>
              <w:pStyle w:val="TableText"/>
              <w:jc w:val="center"/>
            </w:pPr>
            <w:r>
              <w:t>2</w:t>
            </w:r>
            <w:r w:rsidR="0088150A" w:rsidRPr="003C32A5">
              <w:t>.</w:t>
            </w:r>
            <w:r>
              <w:t>3</w:t>
            </w:r>
            <w:r w:rsidR="0088150A" w:rsidRPr="003C32A5">
              <w:t>00</w:t>
            </w:r>
          </w:p>
        </w:tc>
      </w:tr>
      <w:tr w:rsidR="0088150A" w:rsidRPr="00B66707" w:rsidTr="003B59E9">
        <w:trPr>
          <w:cantSplit/>
        </w:trPr>
        <w:tc>
          <w:tcPr>
            <w:tcW w:w="4253" w:type="dxa"/>
            <w:shd w:val="clear" w:color="auto" w:fill="auto"/>
            <w:tcMar>
              <w:top w:w="15" w:type="dxa"/>
              <w:left w:w="57" w:type="dxa"/>
              <w:bottom w:w="0" w:type="dxa"/>
              <w:right w:w="57" w:type="dxa"/>
            </w:tcMar>
            <w:hideMark/>
          </w:tcPr>
          <w:p w:rsidR="0088150A" w:rsidRPr="003C32A5" w:rsidRDefault="0088150A" w:rsidP="003B59E9">
            <w:pPr>
              <w:pStyle w:val="TableText"/>
            </w:pPr>
            <w:r w:rsidRPr="003C32A5">
              <w:t>Technology-related innovation covering MVE, online support and machine-related contro</w:t>
            </w:r>
            <w:r w:rsidR="003B59E9">
              <w:t>ls/monitoring (harm prevention)</w:t>
            </w:r>
          </w:p>
        </w:tc>
        <w:tc>
          <w:tcPr>
            <w:tcW w:w="956"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0.500</w:t>
            </w:r>
          </w:p>
        </w:tc>
        <w:tc>
          <w:tcPr>
            <w:tcW w:w="957"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0.500</w:t>
            </w:r>
          </w:p>
        </w:tc>
        <w:tc>
          <w:tcPr>
            <w:tcW w:w="957"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0.500</w:t>
            </w:r>
          </w:p>
        </w:tc>
        <w:tc>
          <w:tcPr>
            <w:tcW w:w="957" w:type="dxa"/>
            <w:shd w:val="clear" w:color="auto" w:fill="auto"/>
            <w:tcMar>
              <w:top w:w="15" w:type="dxa"/>
              <w:left w:w="57" w:type="dxa"/>
              <w:bottom w:w="0" w:type="dxa"/>
              <w:right w:w="57" w:type="dxa"/>
            </w:tcMar>
            <w:hideMark/>
          </w:tcPr>
          <w:p w:rsidR="0088150A" w:rsidRPr="003C32A5" w:rsidRDefault="0088150A" w:rsidP="008C058D">
            <w:pPr>
              <w:pStyle w:val="TableText"/>
              <w:jc w:val="center"/>
            </w:pPr>
            <w:r w:rsidRPr="003C32A5">
              <w:t>1.</w:t>
            </w:r>
            <w:r w:rsidR="008C058D">
              <w:t>5</w:t>
            </w:r>
            <w:r w:rsidRPr="003C32A5">
              <w:t>00</w:t>
            </w:r>
          </w:p>
        </w:tc>
      </w:tr>
      <w:tr w:rsidR="0088150A" w:rsidRPr="00B66707" w:rsidTr="002753D8">
        <w:trPr>
          <w:cantSplit/>
        </w:trPr>
        <w:tc>
          <w:tcPr>
            <w:tcW w:w="4253" w:type="dxa"/>
            <w:tcBorders>
              <w:bottom w:val="single" w:sz="4" w:space="0" w:color="A6A6A6" w:themeColor="background1" w:themeShade="A6"/>
            </w:tcBorders>
            <w:shd w:val="clear" w:color="auto" w:fill="auto"/>
            <w:tcMar>
              <w:top w:w="15" w:type="dxa"/>
              <w:left w:w="57" w:type="dxa"/>
              <w:bottom w:w="0" w:type="dxa"/>
              <w:right w:w="57" w:type="dxa"/>
            </w:tcMar>
            <w:hideMark/>
          </w:tcPr>
          <w:p w:rsidR="0088150A" w:rsidRPr="003C32A5" w:rsidRDefault="0088150A" w:rsidP="003B59E9">
            <w:pPr>
              <w:pStyle w:val="TableText"/>
            </w:pPr>
            <w:r w:rsidRPr="003C32A5">
              <w:t>Peer support pilot</w:t>
            </w:r>
          </w:p>
        </w:tc>
        <w:tc>
          <w:tcPr>
            <w:tcW w:w="956" w:type="dxa"/>
            <w:tcBorders>
              <w:bottom w:val="single" w:sz="4" w:space="0" w:color="A6A6A6" w:themeColor="background1" w:themeShade="A6"/>
            </w:tcBorders>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0.035</w:t>
            </w:r>
          </w:p>
        </w:tc>
        <w:tc>
          <w:tcPr>
            <w:tcW w:w="957" w:type="dxa"/>
            <w:tcBorders>
              <w:bottom w:val="single" w:sz="4" w:space="0" w:color="A6A6A6" w:themeColor="background1" w:themeShade="A6"/>
            </w:tcBorders>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0.235</w:t>
            </w:r>
          </w:p>
        </w:tc>
        <w:tc>
          <w:tcPr>
            <w:tcW w:w="957" w:type="dxa"/>
            <w:tcBorders>
              <w:bottom w:val="single" w:sz="4" w:space="0" w:color="A6A6A6" w:themeColor="background1" w:themeShade="A6"/>
            </w:tcBorders>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0.430</w:t>
            </w:r>
          </w:p>
        </w:tc>
        <w:tc>
          <w:tcPr>
            <w:tcW w:w="957" w:type="dxa"/>
            <w:tcBorders>
              <w:bottom w:val="single" w:sz="4" w:space="0" w:color="A6A6A6" w:themeColor="background1" w:themeShade="A6"/>
            </w:tcBorders>
            <w:shd w:val="clear" w:color="auto" w:fill="auto"/>
            <w:tcMar>
              <w:top w:w="15" w:type="dxa"/>
              <w:left w:w="57" w:type="dxa"/>
              <w:bottom w:w="0" w:type="dxa"/>
              <w:right w:w="57" w:type="dxa"/>
            </w:tcMar>
            <w:hideMark/>
          </w:tcPr>
          <w:p w:rsidR="0088150A" w:rsidRPr="003C32A5" w:rsidRDefault="008C058D" w:rsidP="003B59E9">
            <w:pPr>
              <w:pStyle w:val="TableText"/>
              <w:jc w:val="center"/>
            </w:pPr>
            <w:r>
              <w:t>0.7</w:t>
            </w:r>
            <w:r w:rsidR="0088150A" w:rsidRPr="003C32A5">
              <w:t>00</w:t>
            </w:r>
          </w:p>
        </w:tc>
      </w:tr>
      <w:tr w:rsidR="0088150A" w:rsidRPr="00B66707" w:rsidTr="003B59E9">
        <w:trPr>
          <w:cantSplit/>
        </w:trPr>
        <w:tc>
          <w:tcPr>
            <w:tcW w:w="4253" w:type="dxa"/>
            <w:shd w:val="clear" w:color="auto" w:fill="auto"/>
            <w:tcMar>
              <w:top w:w="15" w:type="dxa"/>
              <w:left w:w="57" w:type="dxa"/>
              <w:bottom w:w="0" w:type="dxa"/>
              <w:right w:w="57" w:type="dxa"/>
            </w:tcMar>
            <w:hideMark/>
          </w:tcPr>
          <w:p w:rsidR="0088150A" w:rsidRPr="003C32A5" w:rsidRDefault="0088150A" w:rsidP="003B59E9">
            <w:pPr>
              <w:pStyle w:val="TableText"/>
            </w:pPr>
            <w:r w:rsidRPr="003C32A5">
              <w:t>Residential care pilot</w:t>
            </w:r>
          </w:p>
        </w:tc>
        <w:tc>
          <w:tcPr>
            <w:tcW w:w="956"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0.100</w:t>
            </w:r>
          </w:p>
        </w:tc>
        <w:tc>
          <w:tcPr>
            <w:tcW w:w="957"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0.160</w:t>
            </w:r>
          </w:p>
        </w:tc>
        <w:tc>
          <w:tcPr>
            <w:tcW w:w="957"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0.240</w:t>
            </w:r>
          </w:p>
        </w:tc>
        <w:tc>
          <w:tcPr>
            <w:tcW w:w="957"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0.500</w:t>
            </w:r>
          </w:p>
        </w:tc>
      </w:tr>
      <w:tr w:rsidR="0088150A" w:rsidRPr="003B59E9" w:rsidTr="002753D8">
        <w:trPr>
          <w:cantSplit/>
        </w:trPr>
        <w:tc>
          <w:tcPr>
            <w:tcW w:w="4253" w:type="dxa"/>
            <w:shd w:val="clear" w:color="auto" w:fill="auto"/>
            <w:tcMar>
              <w:top w:w="15" w:type="dxa"/>
              <w:left w:w="57" w:type="dxa"/>
              <w:bottom w:w="0" w:type="dxa"/>
              <w:right w:w="57" w:type="dxa"/>
            </w:tcMar>
            <w:hideMark/>
          </w:tcPr>
          <w:p w:rsidR="0088150A" w:rsidRPr="003B59E9" w:rsidRDefault="0088150A" w:rsidP="003B59E9">
            <w:pPr>
              <w:pStyle w:val="TableText"/>
              <w:rPr>
                <w:rFonts w:cs="Arial"/>
                <w:b/>
                <w:lang w:eastAsia="en-NZ"/>
              </w:rPr>
            </w:pPr>
            <w:r w:rsidRPr="003B59E9">
              <w:rPr>
                <w:b/>
                <w:lang w:eastAsia="en-NZ"/>
              </w:rPr>
              <w:t>Total ($m)</w:t>
            </w:r>
          </w:p>
        </w:tc>
        <w:tc>
          <w:tcPr>
            <w:tcW w:w="956" w:type="dxa"/>
            <w:shd w:val="clear" w:color="auto" w:fill="auto"/>
            <w:tcMar>
              <w:top w:w="15" w:type="dxa"/>
              <w:left w:w="57" w:type="dxa"/>
              <w:bottom w:w="0" w:type="dxa"/>
              <w:right w:w="57" w:type="dxa"/>
            </w:tcMar>
            <w:hideMark/>
          </w:tcPr>
          <w:p w:rsidR="0088150A" w:rsidRPr="003B59E9" w:rsidRDefault="0088150A" w:rsidP="003B59E9">
            <w:pPr>
              <w:pStyle w:val="TableText"/>
              <w:jc w:val="center"/>
              <w:rPr>
                <w:rFonts w:cs="Arial"/>
                <w:b/>
                <w:color w:val="000000"/>
              </w:rPr>
            </w:pPr>
            <w:r w:rsidRPr="003B59E9">
              <w:rPr>
                <w:rFonts w:cs="Arial"/>
                <w:b/>
                <w:color w:val="000000"/>
              </w:rPr>
              <w:t>1.335</w:t>
            </w:r>
          </w:p>
        </w:tc>
        <w:tc>
          <w:tcPr>
            <w:tcW w:w="957" w:type="dxa"/>
            <w:shd w:val="clear" w:color="auto" w:fill="auto"/>
            <w:tcMar>
              <w:top w:w="15" w:type="dxa"/>
              <w:left w:w="57" w:type="dxa"/>
              <w:bottom w:w="0" w:type="dxa"/>
              <w:right w:w="57" w:type="dxa"/>
            </w:tcMar>
            <w:hideMark/>
          </w:tcPr>
          <w:p w:rsidR="0088150A" w:rsidRPr="003B59E9" w:rsidRDefault="0088150A" w:rsidP="003B59E9">
            <w:pPr>
              <w:pStyle w:val="TableText"/>
              <w:jc w:val="center"/>
              <w:rPr>
                <w:rFonts w:cs="Arial"/>
                <w:b/>
                <w:color w:val="000000"/>
              </w:rPr>
            </w:pPr>
            <w:r w:rsidRPr="003B59E9">
              <w:rPr>
                <w:rFonts w:cs="Arial"/>
                <w:b/>
                <w:color w:val="000000"/>
              </w:rPr>
              <w:t>1.695</w:t>
            </w:r>
          </w:p>
        </w:tc>
        <w:tc>
          <w:tcPr>
            <w:tcW w:w="957" w:type="dxa"/>
            <w:shd w:val="clear" w:color="auto" w:fill="auto"/>
            <w:tcMar>
              <w:top w:w="15" w:type="dxa"/>
              <w:left w:w="57" w:type="dxa"/>
              <w:bottom w:w="0" w:type="dxa"/>
              <w:right w:w="57" w:type="dxa"/>
            </w:tcMar>
            <w:hideMark/>
          </w:tcPr>
          <w:p w:rsidR="0088150A" w:rsidRPr="003B59E9" w:rsidRDefault="0088150A" w:rsidP="003B59E9">
            <w:pPr>
              <w:pStyle w:val="TableText"/>
              <w:jc w:val="center"/>
              <w:rPr>
                <w:rFonts w:cs="Arial"/>
                <w:b/>
                <w:color w:val="000000"/>
              </w:rPr>
            </w:pPr>
            <w:r w:rsidRPr="003B59E9">
              <w:rPr>
                <w:rFonts w:cs="Arial"/>
                <w:b/>
                <w:color w:val="000000"/>
              </w:rPr>
              <w:t>1.970</w:t>
            </w:r>
          </w:p>
        </w:tc>
        <w:tc>
          <w:tcPr>
            <w:tcW w:w="957" w:type="dxa"/>
            <w:shd w:val="clear" w:color="auto" w:fill="auto"/>
            <w:tcMar>
              <w:top w:w="15" w:type="dxa"/>
              <w:left w:w="57" w:type="dxa"/>
              <w:bottom w:w="0" w:type="dxa"/>
              <w:right w:w="57" w:type="dxa"/>
            </w:tcMar>
            <w:hideMark/>
          </w:tcPr>
          <w:p w:rsidR="0088150A" w:rsidRPr="003B59E9" w:rsidRDefault="0088150A" w:rsidP="003B59E9">
            <w:pPr>
              <w:pStyle w:val="TableText"/>
              <w:jc w:val="center"/>
              <w:rPr>
                <w:rFonts w:cs="Arial"/>
                <w:b/>
                <w:color w:val="000000"/>
              </w:rPr>
            </w:pPr>
            <w:r w:rsidRPr="003B59E9">
              <w:rPr>
                <w:rFonts w:cs="Arial"/>
                <w:b/>
                <w:color w:val="000000"/>
              </w:rPr>
              <w:t>5.000</w:t>
            </w:r>
          </w:p>
        </w:tc>
      </w:tr>
    </w:tbl>
    <w:p w:rsidR="0088150A" w:rsidRPr="006A52E8" w:rsidRDefault="0088150A" w:rsidP="003B59E9">
      <w:pPr>
        <w:rPr>
          <w:lang w:eastAsia="en-NZ"/>
        </w:rPr>
      </w:pPr>
    </w:p>
    <w:p w:rsidR="0088150A" w:rsidRPr="0052418F" w:rsidRDefault="0088150A" w:rsidP="003B59E9">
      <w:pPr>
        <w:pStyle w:val="Heading3"/>
        <w:numPr>
          <w:ilvl w:val="0"/>
          <w:numId w:val="0"/>
        </w:numPr>
        <w:rPr>
          <w:lang w:eastAsia="en-NZ"/>
        </w:rPr>
      </w:pPr>
      <w:r w:rsidRPr="006A52E8">
        <w:rPr>
          <w:lang w:eastAsia="en-NZ"/>
        </w:rPr>
        <w:lastRenderedPageBreak/>
        <w:t>Pilots</w:t>
      </w:r>
    </w:p>
    <w:p w:rsidR="00A10EC0" w:rsidRDefault="0088150A" w:rsidP="003B59E9">
      <w:pPr>
        <w:keepLines/>
      </w:pPr>
      <w:r w:rsidRPr="0052418F">
        <w:t xml:space="preserve">The Ministry proposes to fund a range of new pilot service models </w:t>
      </w:r>
      <w:r>
        <w:t xml:space="preserve">that </w:t>
      </w:r>
      <w:r w:rsidRPr="0052418F">
        <w:t>address inequity related public health and intervention services. Examples include cultural models</w:t>
      </w:r>
      <w:r>
        <w:t>/services</w:t>
      </w:r>
      <w:r w:rsidRPr="0052418F">
        <w:t>, language support, online services, public health messaging and access for isolated communities.</w:t>
      </w:r>
    </w:p>
    <w:p w:rsidR="0088150A" w:rsidRDefault="0088150A" w:rsidP="003B59E9"/>
    <w:p w:rsidR="00A10EC0" w:rsidRDefault="0088150A" w:rsidP="003B59E9">
      <w:r w:rsidRPr="0052418F">
        <w:t>Pilot costs are based on current full time equivalent (FTE</w:t>
      </w:r>
      <w:r w:rsidR="00C46164">
        <w:t>)</w:t>
      </w:r>
      <w:r w:rsidRPr="0052418F">
        <w:t xml:space="preserve"> personnel costs at about $100,000 per </w:t>
      </w:r>
      <w:r w:rsidR="00C46164">
        <w:t>year</w:t>
      </w:r>
      <w:r>
        <w:t>.</w:t>
      </w:r>
      <w:r w:rsidRPr="0052418F">
        <w:t xml:space="preserve"> </w:t>
      </w:r>
      <w:r>
        <w:t xml:space="preserve">The Ministry plans between three and five </w:t>
      </w:r>
      <w:r w:rsidRPr="0052418F">
        <w:t xml:space="preserve">pilots of various sizes </w:t>
      </w:r>
      <w:r>
        <w:t xml:space="preserve">each year </w:t>
      </w:r>
      <w:r w:rsidRPr="0052418F">
        <w:t xml:space="preserve">in the </w:t>
      </w:r>
      <w:r>
        <w:t>second and third</w:t>
      </w:r>
      <w:r w:rsidRPr="0052418F">
        <w:t xml:space="preserve"> years, but a smaller number in the </w:t>
      </w:r>
      <w:r>
        <w:t>first</w:t>
      </w:r>
      <w:r w:rsidRPr="0052418F">
        <w:t xml:space="preserve"> year (2019/20)</w:t>
      </w:r>
      <w:r>
        <w:t>,</w:t>
      </w:r>
      <w:r w:rsidRPr="0052418F">
        <w:t xml:space="preserve"> to allow for phasing. </w:t>
      </w:r>
      <w:r>
        <w:t>T</w:t>
      </w:r>
      <w:r w:rsidRPr="0052418F">
        <w:t xml:space="preserve">he Ministry does not </w:t>
      </w:r>
      <w:r>
        <w:t xml:space="preserve">currently </w:t>
      </w:r>
      <w:r w:rsidRPr="0052418F">
        <w:t>know the exact size or number of these pilots</w:t>
      </w:r>
      <w:r>
        <w:t>;</w:t>
      </w:r>
      <w:r w:rsidRPr="0052418F">
        <w:t xml:space="preserve"> therefore</w:t>
      </w:r>
      <w:r>
        <w:t>,</w:t>
      </w:r>
      <w:r w:rsidRPr="0052418F">
        <w:t xml:space="preserve"> a more precise costing is not practical.</w:t>
      </w:r>
    </w:p>
    <w:p w:rsidR="003B59E9" w:rsidRDefault="003B59E9" w:rsidP="003B59E9"/>
    <w:p w:rsidR="0088150A" w:rsidRPr="0052418F" w:rsidRDefault="0088150A" w:rsidP="003B59E9">
      <w:r w:rsidRPr="0052418F">
        <w:t xml:space="preserve">The </w:t>
      </w:r>
      <w:r>
        <w:t xml:space="preserve">Ministry will meet the </w:t>
      </w:r>
      <w:r w:rsidRPr="0052418F">
        <w:t xml:space="preserve">pilot evaluation costs from the research evaluation </w:t>
      </w:r>
      <w:r>
        <w:t>allocation</w:t>
      </w:r>
      <w:r w:rsidRPr="0052418F">
        <w:t>.</w:t>
      </w:r>
    </w:p>
    <w:p w:rsidR="0088150A" w:rsidRPr="0056174F" w:rsidRDefault="0088150A" w:rsidP="003B59E9">
      <w:pPr>
        <w:pStyle w:val="Heading3"/>
        <w:numPr>
          <w:ilvl w:val="0"/>
          <w:numId w:val="0"/>
        </w:numPr>
      </w:pPr>
      <w:r w:rsidRPr="0056174F">
        <w:t>Technology</w:t>
      </w:r>
    </w:p>
    <w:p w:rsidR="0088150A" w:rsidRPr="00470715" w:rsidRDefault="0088150A" w:rsidP="00F770B3">
      <w:pPr>
        <w:keepLines/>
      </w:pPr>
      <w:r>
        <w:t xml:space="preserve">The Ministry proposes to allocate a fund to support technology-related innovation. </w:t>
      </w:r>
      <w:r w:rsidRPr="0056174F">
        <w:t xml:space="preserve">There is a strong consensus from </w:t>
      </w:r>
      <w:r>
        <w:t xml:space="preserve">both </w:t>
      </w:r>
      <w:r w:rsidRPr="0056174F">
        <w:t xml:space="preserve">industry and service providers that </w:t>
      </w:r>
      <w:r>
        <w:t xml:space="preserve">the strategy should provide for greater use of </w:t>
      </w:r>
      <w:r w:rsidRPr="0056174F">
        <w:t>technolog</w:t>
      </w:r>
      <w:r>
        <w:t xml:space="preserve">y </w:t>
      </w:r>
      <w:r w:rsidRPr="0056174F">
        <w:t>to mitigate and manage gambling harm. Th</w:t>
      </w:r>
      <w:r>
        <w:t>e</w:t>
      </w:r>
      <w:r w:rsidRPr="0056174F">
        <w:t xml:space="preserve"> </w:t>
      </w:r>
      <w:r>
        <w:t xml:space="preserve">Ministry </w:t>
      </w:r>
      <w:r w:rsidRPr="0056174F">
        <w:t xml:space="preserve">could </w:t>
      </w:r>
      <w:r>
        <w:t xml:space="preserve">use this fund to build on an established activity </w:t>
      </w:r>
      <w:r w:rsidR="00C46164">
        <w:t xml:space="preserve">– </w:t>
      </w:r>
      <w:r>
        <w:t>such as potentially</w:t>
      </w:r>
      <w:r w:rsidRPr="0056174F">
        <w:t xml:space="preserve"> </w:t>
      </w:r>
      <w:r w:rsidRPr="00470715">
        <w:t>funding a database with facial recognition capabilities</w:t>
      </w:r>
      <w:r>
        <w:t>,</w:t>
      </w:r>
      <w:r w:rsidR="00C46164">
        <w:t xml:space="preserve"> or</w:t>
      </w:r>
      <w:r w:rsidR="00582CC7">
        <w:t xml:space="preserve"> </w:t>
      </w:r>
      <w:r>
        <w:t xml:space="preserve">trialling </w:t>
      </w:r>
      <w:r w:rsidRPr="00470715">
        <w:t>venue management modules</w:t>
      </w:r>
      <w:r w:rsidR="00C46164">
        <w:t xml:space="preserve"> –</w:t>
      </w:r>
      <w:r>
        <w:t xml:space="preserve"> or to develop online support tools or pilot tools to monitor and manage or limit player exposure to gambling harm. The Ministry will evaluate all trials.</w:t>
      </w:r>
    </w:p>
    <w:p w:rsidR="0088150A" w:rsidRPr="0052418F" w:rsidRDefault="0088150A" w:rsidP="003B59E9">
      <w:pPr>
        <w:pStyle w:val="Heading3"/>
        <w:numPr>
          <w:ilvl w:val="0"/>
          <w:numId w:val="0"/>
        </w:numPr>
        <w:rPr>
          <w:lang w:eastAsia="en-NZ"/>
        </w:rPr>
      </w:pPr>
      <w:r w:rsidRPr="0052418F">
        <w:rPr>
          <w:lang w:eastAsia="en-NZ"/>
        </w:rPr>
        <w:t>Peer support</w:t>
      </w:r>
    </w:p>
    <w:p w:rsidR="00A10EC0" w:rsidRDefault="0088150A" w:rsidP="00603E17">
      <w:pPr>
        <w:keepLines/>
      </w:pPr>
      <w:r w:rsidRPr="0045773B">
        <w:t xml:space="preserve">Peer support is a model </w:t>
      </w:r>
      <w:r>
        <w:t xml:space="preserve">that has been proven </w:t>
      </w:r>
      <w:r w:rsidRPr="0045773B">
        <w:t xml:space="preserve">overseas and </w:t>
      </w:r>
      <w:r>
        <w:t xml:space="preserve">in New Zealand </w:t>
      </w:r>
      <w:r w:rsidRPr="0045773B">
        <w:t>for other forms of addiction</w:t>
      </w:r>
      <w:r>
        <w:t xml:space="preserve"> (</w:t>
      </w:r>
      <w:r w:rsidR="00A10EC0">
        <w:t>‘</w:t>
      </w:r>
      <w:r>
        <w:t>peer</w:t>
      </w:r>
      <w:r w:rsidR="00A10EC0">
        <w:t>’</w:t>
      </w:r>
      <w:r>
        <w:t xml:space="preserve"> in this context means a person who has had a similar kind of relevant experience to other people that has had a significant impact on their lives)</w:t>
      </w:r>
      <w:r w:rsidRPr="0045773B">
        <w:t xml:space="preserve">. </w:t>
      </w:r>
      <w:r>
        <w:t>The formal evidence for peer support in mental health and addiction is growing, and shows high satisfaction from consumers of services. Outcomes from peer services are as good as if not better than conventional services, yet there currently are no funded peer support positions within gambling harm services.</w:t>
      </w:r>
    </w:p>
    <w:p w:rsidR="003B59E9" w:rsidRDefault="003B59E9" w:rsidP="003B59E9"/>
    <w:p w:rsidR="00A10EC0" w:rsidRDefault="0088150A" w:rsidP="003B59E9">
      <w:r>
        <w:t xml:space="preserve">The Ministry proposes to encourage training for and trial the introduction of peer services during this levy period. </w:t>
      </w:r>
      <w:r w:rsidRPr="0052418F">
        <w:t xml:space="preserve">Costs are based on providing support for workforce development/training in each year, plus funding additional peer support positions in years </w:t>
      </w:r>
      <w:r>
        <w:t xml:space="preserve">two </w:t>
      </w:r>
      <w:r w:rsidRPr="0052418F">
        <w:t xml:space="preserve">and </w:t>
      </w:r>
      <w:r>
        <w:t>three</w:t>
      </w:r>
      <w:r w:rsidRPr="0052418F">
        <w:t xml:space="preserve">. </w:t>
      </w:r>
      <w:r>
        <w:t>The Ministry has taken into account a range of factors, including c</w:t>
      </w:r>
      <w:r w:rsidRPr="0052418F">
        <w:t>urrent FTE costs and average peer support workers</w:t>
      </w:r>
      <w:r w:rsidR="00A10EC0">
        <w:t>’</w:t>
      </w:r>
      <w:r w:rsidRPr="0052418F">
        <w:t xml:space="preserve"> salaries </w:t>
      </w:r>
      <w:r>
        <w:t>and training costs.</w:t>
      </w:r>
    </w:p>
    <w:p w:rsidR="003B59E9" w:rsidRDefault="003B59E9" w:rsidP="003B59E9"/>
    <w:p w:rsidR="00A10EC0" w:rsidRDefault="0088150A" w:rsidP="003B59E9">
      <w:r w:rsidRPr="0052418F">
        <w:t xml:space="preserve">There are a few ways </w:t>
      </w:r>
      <w:r>
        <w:t>in which</w:t>
      </w:r>
      <w:r w:rsidRPr="0052418F">
        <w:t xml:space="preserve"> the Ministry could support this</w:t>
      </w:r>
      <w:r>
        <w:t xml:space="preserve"> aim;</w:t>
      </w:r>
      <w:r w:rsidRPr="0052418F">
        <w:t xml:space="preserve"> however</w:t>
      </w:r>
      <w:r>
        <w:t>,</w:t>
      </w:r>
      <w:r w:rsidRPr="0052418F">
        <w:t xml:space="preserve"> </w:t>
      </w:r>
      <w:r>
        <w:t xml:space="preserve">its </w:t>
      </w:r>
      <w:r w:rsidRPr="0052418F">
        <w:t xml:space="preserve">preference </w:t>
      </w:r>
      <w:r>
        <w:t xml:space="preserve">is for </w:t>
      </w:r>
      <w:r w:rsidRPr="0052418F">
        <w:t xml:space="preserve">a limited number of workforce development scholarships. The Ministry has not </w:t>
      </w:r>
      <w:r>
        <w:t xml:space="preserve">yet determined the workforce development component </w:t>
      </w:r>
      <w:r w:rsidRPr="0052418F">
        <w:t xml:space="preserve">costs </w:t>
      </w:r>
      <w:r>
        <w:t xml:space="preserve">for this, </w:t>
      </w:r>
      <w:r w:rsidRPr="0052418F">
        <w:t xml:space="preserve">as </w:t>
      </w:r>
      <w:r>
        <w:t xml:space="preserve">more investigation into potential </w:t>
      </w:r>
      <w:r w:rsidRPr="0052418F">
        <w:t xml:space="preserve">demand and timing </w:t>
      </w:r>
      <w:r>
        <w:t>is necessary</w:t>
      </w:r>
      <w:r w:rsidRPr="0052418F">
        <w:t>.</w:t>
      </w:r>
    </w:p>
    <w:p w:rsidR="003B59E9" w:rsidRDefault="003B59E9" w:rsidP="003B59E9"/>
    <w:p w:rsidR="0088150A" w:rsidRPr="0052418F" w:rsidRDefault="0088150A" w:rsidP="003B59E9">
      <w:pPr>
        <w:pStyle w:val="Heading3"/>
        <w:numPr>
          <w:ilvl w:val="0"/>
          <w:numId w:val="0"/>
        </w:numPr>
        <w:rPr>
          <w:lang w:eastAsia="en-NZ"/>
        </w:rPr>
      </w:pPr>
      <w:r w:rsidRPr="0052418F">
        <w:rPr>
          <w:lang w:eastAsia="en-NZ"/>
        </w:rPr>
        <w:lastRenderedPageBreak/>
        <w:t xml:space="preserve">Residential </w:t>
      </w:r>
      <w:r>
        <w:rPr>
          <w:lang w:eastAsia="en-NZ"/>
        </w:rPr>
        <w:t>c</w:t>
      </w:r>
      <w:r w:rsidRPr="0052418F">
        <w:rPr>
          <w:lang w:eastAsia="en-NZ"/>
        </w:rPr>
        <w:t>are</w:t>
      </w:r>
    </w:p>
    <w:p w:rsidR="00A10EC0" w:rsidRDefault="0088150A" w:rsidP="003B59E9">
      <w:r w:rsidRPr="00AD662E">
        <w:t xml:space="preserve">Overseas experience </w:t>
      </w:r>
      <w:r>
        <w:t xml:space="preserve">indicates that </w:t>
      </w:r>
      <w:r w:rsidRPr="00AD662E">
        <w:t xml:space="preserve">residential care is </w:t>
      </w:r>
      <w:r>
        <w:t xml:space="preserve">a </w:t>
      </w:r>
      <w:r w:rsidRPr="00AD662E">
        <w:t>beneficial for</w:t>
      </w:r>
      <w:r>
        <w:t>m of treatment for a small number of people with severe addi</w:t>
      </w:r>
      <w:r w:rsidR="006872FA">
        <w:t>c</w:t>
      </w:r>
      <w:r>
        <w:t xml:space="preserve">tion behaviours, and therefore would be an option for the </w:t>
      </w:r>
      <w:r w:rsidRPr="00AD662E">
        <w:t xml:space="preserve">limited number of </w:t>
      </w:r>
      <w:r>
        <w:t>people in New Zealand experiencing high levels of gambling harm.</w:t>
      </w:r>
    </w:p>
    <w:p w:rsidR="003B59E9" w:rsidRDefault="003B59E9" w:rsidP="003B59E9"/>
    <w:p w:rsidR="00A10EC0" w:rsidRDefault="0088150A" w:rsidP="003B59E9">
      <w:r>
        <w:t xml:space="preserve">The Ministry currently funds some gambling harm support to people in alcohol and other drug residential treatment; however, demand does exist </w:t>
      </w:r>
      <w:r w:rsidR="00A74808">
        <w:t>for</w:t>
      </w:r>
      <w:r>
        <w:t xml:space="preserve"> residential treatment that provides gambling support first and foremost.</w:t>
      </w:r>
      <w:r w:rsidRPr="00FA36B4">
        <w:t xml:space="preserve"> </w:t>
      </w:r>
      <w:r>
        <w:t xml:space="preserve">The Ministry will work with providers to develop and pilot a clinically robust model of care, based on intensive treatment for people experiencing severe gambling harm, but likely allowing for support for co-existing issues in addition. It will then adopt a </w:t>
      </w:r>
      <w:r w:rsidR="00A10EC0">
        <w:t>‘</w:t>
      </w:r>
      <w:r>
        <w:t>package-of-care</w:t>
      </w:r>
      <w:r w:rsidR="00A10EC0">
        <w:t>’</w:t>
      </w:r>
      <w:r>
        <w:t xml:space="preserve"> approach to funding, similar to the way in which it funds alcohol and drug treatment residential care.</w:t>
      </w:r>
    </w:p>
    <w:p w:rsidR="003B59E9" w:rsidRDefault="003B59E9" w:rsidP="003B59E9"/>
    <w:p w:rsidR="00A10EC0" w:rsidRDefault="0088150A" w:rsidP="00F770B3">
      <w:pPr>
        <w:keepLines/>
      </w:pPr>
      <w:r w:rsidRPr="0052418F">
        <w:t xml:space="preserve">The Ministry </w:t>
      </w:r>
      <w:r>
        <w:t xml:space="preserve">proposes to </w:t>
      </w:r>
      <w:r w:rsidRPr="0052418F">
        <w:t xml:space="preserve">fund a small number of packages </w:t>
      </w:r>
      <w:r>
        <w:t xml:space="preserve">each year </w:t>
      </w:r>
      <w:r w:rsidRPr="0052418F">
        <w:t xml:space="preserve">in the last year of the levy, with each package supporting about five people per </w:t>
      </w:r>
      <w:r>
        <w:t xml:space="preserve">year, </w:t>
      </w:r>
      <w:r w:rsidRPr="0052418F">
        <w:t xml:space="preserve">depending on </w:t>
      </w:r>
      <w:r>
        <w:t>complexity of need. The Ministry expects to p</w:t>
      </w:r>
      <w:r w:rsidRPr="00AD662E">
        <w:t xml:space="preserve">hase in this support with an established </w:t>
      </w:r>
      <w:r>
        <w:t xml:space="preserve">treatment </w:t>
      </w:r>
      <w:r w:rsidRPr="00AD662E">
        <w:t>provider</w:t>
      </w:r>
      <w:r>
        <w:t xml:space="preserve">, and </w:t>
      </w:r>
      <w:r w:rsidRPr="0052418F">
        <w:t>ha</w:t>
      </w:r>
      <w:r>
        <w:t>s</w:t>
      </w:r>
      <w:r w:rsidRPr="0052418F">
        <w:t xml:space="preserve"> yet to decide whether to purchase on a capacity or demand basis, via a fee for service as required.</w:t>
      </w:r>
    </w:p>
    <w:p w:rsidR="0088150A" w:rsidRPr="00E0156C" w:rsidRDefault="0088150A" w:rsidP="003B59E9">
      <w:pPr>
        <w:pStyle w:val="Heading2"/>
      </w:pPr>
      <w:bookmarkStart w:id="236" w:name="_Toc528934681"/>
      <w:bookmarkStart w:id="237" w:name="_Toc517090908"/>
      <w:bookmarkStart w:id="238" w:name="_Toc530487415"/>
      <w:bookmarkStart w:id="239" w:name="_Toc9239608"/>
      <w:bookmarkEnd w:id="236"/>
      <w:r w:rsidRPr="00C10A99">
        <w:t xml:space="preserve">Ministry of Health operating </w:t>
      </w:r>
      <w:bookmarkEnd w:id="230"/>
      <w:bookmarkEnd w:id="231"/>
      <w:bookmarkEnd w:id="232"/>
      <w:r w:rsidRPr="00E0156C">
        <w:t>costs</w:t>
      </w:r>
      <w:bookmarkEnd w:id="237"/>
      <w:bookmarkEnd w:id="238"/>
      <w:bookmarkEnd w:id="239"/>
    </w:p>
    <w:p w:rsidR="0088150A" w:rsidRPr="00E312E8" w:rsidRDefault="0088150A" w:rsidP="003B59E9">
      <w:r w:rsidRPr="00E312E8">
        <w:t>Ministry operating costs (departmental expenditure) comprise contract management, policy and service development work, management of the research and evaluation programme, and management of the Client Information Collection (CLIC</w:t>
      </w:r>
      <w:r w:rsidR="003B59E9">
        <w:t>)</w:t>
      </w:r>
      <w:r w:rsidR="000A6699" w:rsidRPr="000A6699">
        <w:t xml:space="preserve"> </w:t>
      </w:r>
      <w:r w:rsidR="000A6699" w:rsidRPr="00E312E8">
        <w:t>database</w:t>
      </w:r>
      <w:r w:rsidRPr="00E312E8">
        <w:t>.</w:t>
      </w:r>
    </w:p>
    <w:p w:rsidR="0088150A" w:rsidRDefault="0088150A" w:rsidP="003B59E9"/>
    <w:p w:rsidR="0088150A" w:rsidRPr="00E312E8" w:rsidRDefault="0088150A" w:rsidP="003B59E9">
      <w:r w:rsidRPr="00E312E8">
        <w:t>The budget for these components has remained at around $980,000 a year for many years now. The 2011 KPMG Value for Money Review concluded that the Ministry</w:t>
      </w:r>
      <w:r w:rsidR="00A10EC0">
        <w:t>’</w:t>
      </w:r>
      <w:r w:rsidRPr="00E312E8">
        <w:t>s operating costs were reasonable.</w:t>
      </w:r>
    </w:p>
    <w:p w:rsidR="0088150A" w:rsidRDefault="0088150A" w:rsidP="003B59E9"/>
    <w:p w:rsidR="0088150A" w:rsidRDefault="0088150A" w:rsidP="003B59E9">
      <w:r w:rsidRPr="00C10A99">
        <w:t>In the past, the Ministry devised the budget for its operating costs on the assumption that more funding would be required in the final year of each three-year period, when the strategy for the next three-year period was being developed. In fact, much of this work occurs in the second half of the second year of each three-year period. For 2019/20</w:t>
      </w:r>
      <w:r>
        <w:t>–</w:t>
      </w:r>
      <w:r w:rsidRPr="00C10A99">
        <w:t>2021/22</w:t>
      </w:r>
      <w:r>
        <w:t>,</w:t>
      </w:r>
      <w:r w:rsidRPr="00C10A99">
        <w:t xml:space="preserve"> the Ministry has phased the budget accordingly.</w:t>
      </w:r>
    </w:p>
    <w:p w:rsidR="0088150A" w:rsidRPr="00C10A99" w:rsidRDefault="0088150A" w:rsidP="003B59E9"/>
    <w:p w:rsidR="0088150A" w:rsidRPr="00FF734C" w:rsidRDefault="0088150A" w:rsidP="005A26D2">
      <w:pPr>
        <w:pStyle w:val="Table"/>
      </w:pPr>
      <w:bookmarkStart w:id="240" w:name="_Toc517091243"/>
      <w:bookmarkStart w:id="241" w:name="_Toc530487442"/>
      <w:bookmarkStart w:id="242" w:name="_Toc4156638"/>
      <w:bookmarkStart w:id="243" w:name="_Toc8398938"/>
      <w:bookmarkStart w:id="244" w:name="_Toc422409756"/>
      <w:r w:rsidRPr="00FF734C">
        <w:t>Table</w:t>
      </w:r>
      <w:r w:rsidR="00616EE2">
        <w:t xml:space="preserve"> </w:t>
      </w:r>
      <w:r w:rsidR="00762F08">
        <w:rPr>
          <w:noProof/>
        </w:rPr>
        <w:fldChar w:fldCharType="begin"/>
      </w:r>
      <w:r w:rsidR="00762F08">
        <w:rPr>
          <w:noProof/>
        </w:rPr>
        <w:instrText xml:space="preserve"> SEQ Table \* ARABIC </w:instrText>
      </w:r>
      <w:r w:rsidR="00762F08">
        <w:rPr>
          <w:noProof/>
        </w:rPr>
        <w:fldChar w:fldCharType="separate"/>
      </w:r>
      <w:r w:rsidR="0002049A">
        <w:rPr>
          <w:noProof/>
        </w:rPr>
        <w:t>20</w:t>
      </w:r>
      <w:r w:rsidR="00762F08">
        <w:rPr>
          <w:noProof/>
        </w:rPr>
        <w:fldChar w:fldCharType="end"/>
      </w:r>
      <w:r w:rsidRPr="00FF734C">
        <w:t xml:space="preserve">: </w:t>
      </w:r>
      <w:r w:rsidR="00222302">
        <w:t>B</w:t>
      </w:r>
      <w:r w:rsidRPr="00FF734C">
        <w:t>udget for Ministry operating costs (GST</w:t>
      </w:r>
      <w:r w:rsidR="00133362">
        <w:t xml:space="preserve"> </w:t>
      </w:r>
      <w:r w:rsidRPr="00FF734C">
        <w:t>exclusive),</w:t>
      </w:r>
      <w:r w:rsidR="00151F15">
        <w:t xml:space="preserve"> </w:t>
      </w:r>
      <w:r w:rsidRPr="00FF734C">
        <w:t>2019/20</w:t>
      </w:r>
      <w:r>
        <w:t>–</w:t>
      </w:r>
      <w:r w:rsidRPr="00FF734C">
        <w:t>2021/22</w:t>
      </w:r>
      <w:bookmarkEnd w:id="240"/>
      <w:bookmarkEnd w:id="241"/>
      <w:bookmarkEnd w:id="242"/>
      <w:bookmarkEnd w:id="243"/>
    </w:p>
    <w:bookmarkEnd w:id="244"/>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835"/>
        <w:gridCol w:w="1311"/>
        <w:gridCol w:w="1311"/>
        <w:gridCol w:w="1311"/>
        <w:gridCol w:w="1312"/>
      </w:tblGrid>
      <w:tr w:rsidR="0088150A" w:rsidRPr="003B59E9" w:rsidTr="0062363F">
        <w:trPr>
          <w:cantSplit/>
        </w:trPr>
        <w:tc>
          <w:tcPr>
            <w:tcW w:w="2835" w:type="dxa"/>
            <w:tcBorders>
              <w:top w:val="nil"/>
              <w:bottom w:val="nil"/>
            </w:tcBorders>
            <w:shd w:val="clear" w:color="auto" w:fill="D9D9D9" w:themeFill="background1" w:themeFillShade="D9"/>
          </w:tcPr>
          <w:p w:rsidR="0088150A" w:rsidRPr="003B59E9" w:rsidRDefault="0088150A" w:rsidP="003B59E9">
            <w:pPr>
              <w:pStyle w:val="TableText"/>
              <w:rPr>
                <w:b/>
              </w:rPr>
            </w:pPr>
          </w:p>
        </w:tc>
        <w:tc>
          <w:tcPr>
            <w:tcW w:w="1311" w:type="dxa"/>
            <w:tcBorders>
              <w:top w:val="nil"/>
              <w:bottom w:val="nil"/>
            </w:tcBorders>
            <w:shd w:val="clear" w:color="auto" w:fill="D9D9D9" w:themeFill="background1" w:themeFillShade="D9"/>
          </w:tcPr>
          <w:p w:rsidR="0088150A" w:rsidRPr="003B59E9" w:rsidRDefault="0088150A" w:rsidP="003B59E9">
            <w:pPr>
              <w:pStyle w:val="TableText"/>
              <w:jc w:val="center"/>
              <w:rPr>
                <w:b/>
                <w:lang w:eastAsia="en-US"/>
              </w:rPr>
            </w:pPr>
            <w:r w:rsidRPr="003B59E9">
              <w:rPr>
                <w:b/>
                <w:lang w:eastAsia="en-US"/>
              </w:rPr>
              <w:t>2019/20</w:t>
            </w:r>
            <w:r w:rsidRPr="003B59E9">
              <w:rPr>
                <w:b/>
                <w:lang w:eastAsia="en-US"/>
              </w:rPr>
              <w:br/>
              <w:t>($m)</w:t>
            </w:r>
          </w:p>
        </w:tc>
        <w:tc>
          <w:tcPr>
            <w:tcW w:w="1311" w:type="dxa"/>
            <w:tcBorders>
              <w:top w:val="nil"/>
              <w:bottom w:val="nil"/>
            </w:tcBorders>
            <w:shd w:val="clear" w:color="auto" w:fill="D9D9D9" w:themeFill="background1" w:themeFillShade="D9"/>
          </w:tcPr>
          <w:p w:rsidR="0088150A" w:rsidRPr="003B59E9" w:rsidRDefault="0088150A" w:rsidP="003B59E9">
            <w:pPr>
              <w:pStyle w:val="TableText"/>
              <w:jc w:val="center"/>
              <w:rPr>
                <w:b/>
                <w:lang w:eastAsia="en-US"/>
              </w:rPr>
            </w:pPr>
            <w:r w:rsidRPr="003B59E9">
              <w:rPr>
                <w:b/>
                <w:lang w:eastAsia="en-US"/>
              </w:rPr>
              <w:t>2020/21</w:t>
            </w:r>
            <w:r w:rsidRPr="003B59E9">
              <w:rPr>
                <w:b/>
                <w:lang w:eastAsia="en-US"/>
              </w:rPr>
              <w:br/>
              <w:t>($m)</w:t>
            </w:r>
          </w:p>
        </w:tc>
        <w:tc>
          <w:tcPr>
            <w:tcW w:w="1311" w:type="dxa"/>
            <w:tcBorders>
              <w:top w:val="nil"/>
              <w:bottom w:val="nil"/>
            </w:tcBorders>
            <w:shd w:val="clear" w:color="auto" w:fill="D9D9D9" w:themeFill="background1" w:themeFillShade="D9"/>
          </w:tcPr>
          <w:p w:rsidR="0088150A" w:rsidRPr="003B59E9" w:rsidRDefault="0088150A" w:rsidP="003B59E9">
            <w:pPr>
              <w:pStyle w:val="TableText"/>
              <w:jc w:val="center"/>
              <w:rPr>
                <w:b/>
                <w:lang w:eastAsia="en-US"/>
              </w:rPr>
            </w:pPr>
            <w:r w:rsidRPr="003B59E9">
              <w:rPr>
                <w:b/>
                <w:lang w:eastAsia="en-US"/>
              </w:rPr>
              <w:t>2021/22</w:t>
            </w:r>
            <w:r w:rsidRPr="003B59E9">
              <w:rPr>
                <w:b/>
                <w:lang w:eastAsia="en-US"/>
              </w:rPr>
              <w:br/>
              <w:t>($m)</w:t>
            </w:r>
          </w:p>
        </w:tc>
        <w:tc>
          <w:tcPr>
            <w:tcW w:w="1312" w:type="dxa"/>
            <w:tcBorders>
              <w:top w:val="nil"/>
              <w:bottom w:val="nil"/>
            </w:tcBorders>
            <w:shd w:val="clear" w:color="auto" w:fill="D9D9D9" w:themeFill="background1" w:themeFillShade="D9"/>
          </w:tcPr>
          <w:p w:rsidR="0088150A" w:rsidRPr="003B59E9" w:rsidRDefault="0088150A" w:rsidP="003B59E9">
            <w:pPr>
              <w:pStyle w:val="TableText"/>
              <w:jc w:val="center"/>
              <w:rPr>
                <w:b/>
              </w:rPr>
            </w:pPr>
            <w:r w:rsidRPr="003B59E9">
              <w:rPr>
                <w:b/>
              </w:rPr>
              <w:t>Total</w:t>
            </w:r>
            <w:r w:rsidRPr="003B59E9">
              <w:rPr>
                <w:b/>
              </w:rPr>
              <w:br/>
              <w:t>($m)</w:t>
            </w:r>
          </w:p>
        </w:tc>
      </w:tr>
      <w:tr w:rsidR="0088150A" w:rsidRPr="008E3950" w:rsidTr="0062363F">
        <w:trPr>
          <w:cantSplit/>
        </w:trPr>
        <w:tc>
          <w:tcPr>
            <w:tcW w:w="2835" w:type="dxa"/>
            <w:tcBorders>
              <w:top w:val="nil"/>
            </w:tcBorders>
            <w:shd w:val="clear" w:color="auto" w:fill="auto"/>
          </w:tcPr>
          <w:p w:rsidR="0088150A" w:rsidRPr="00EF5446" w:rsidRDefault="0088150A" w:rsidP="003B59E9">
            <w:pPr>
              <w:pStyle w:val="TableText"/>
            </w:pPr>
            <w:r w:rsidRPr="00EF5446">
              <w:t>Total operating costs ($m)</w:t>
            </w:r>
          </w:p>
        </w:tc>
        <w:tc>
          <w:tcPr>
            <w:tcW w:w="1311" w:type="dxa"/>
            <w:tcBorders>
              <w:top w:val="nil"/>
            </w:tcBorders>
            <w:shd w:val="clear" w:color="auto" w:fill="auto"/>
          </w:tcPr>
          <w:p w:rsidR="0088150A" w:rsidRPr="00EF5446" w:rsidRDefault="0088150A" w:rsidP="003B59E9">
            <w:pPr>
              <w:pStyle w:val="TableText"/>
              <w:jc w:val="center"/>
              <w:rPr>
                <w:rFonts w:eastAsia="Arial Unicode MS"/>
              </w:rPr>
            </w:pPr>
            <w:r w:rsidRPr="00EF5446">
              <w:rPr>
                <w:rFonts w:eastAsia="Arial Unicode MS"/>
              </w:rPr>
              <w:t>0.9</w:t>
            </w:r>
            <w:r>
              <w:rPr>
                <w:rFonts w:eastAsia="Arial Unicode MS"/>
              </w:rPr>
              <w:t>5</w:t>
            </w:r>
            <w:r w:rsidRPr="00EF5446">
              <w:rPr>
                <w:rFonts w:eastAsia="Arial Unicode MS"/>
              </w:rPr>
              <w:t>7</w:t>
            </w:r>
          </w:p>
        </w:tc>
        <w:tc>
          <w:tcPr>
            <w:tcW w:w="1311" w:type="dxa"/>
            <w:tcBorders>
              <w:top w:val="nil"/>
            </w:tcBorders>
            <w:shd w:val="clear" w:color="auto" w:fill="auto"/>
          </w:tcPr>
          <w:p w:rsidR="0088150A" w:rsidRPr="00EF5446" w:rsidRDefault="0088150A" w:rsidP="003B59E9">
            <w:pPr>
              <w:pStyle w:val="TableText"/>
              <w:jc w:val="center"/>
              <w:rPr>
                <w:rFonts w:eastAsia="Arial Unicode MS"/>
              </w:rPr>
            </w:pPr>
            <w:r w:rsidRPr="00EF5446">
              <w:rPr>
                <w:rFonts w:eastAsia="Arial Unicode MS"/>
              </w:rPr>
              <w:t>0.9</w:t>
            </w:r>
            <w:r>
              <w:rPr>
                <w:rFonts w:eastAsia="Arial Unicode MS"/>
              </w:rPr>
              <w:t>9</w:t>
            </w:r>
            <w:r w:rsidRPr="00EF5446">
              <w:rPr>
                <w:rFonts w:eastAsia="Arial Unicode MS"/>
              </w:rPr>
              <w:t>0</w:t>
            </w:r>
          </w:p>
        </w:tc>
        <w:tc>
          <w:tcPr>
            <w:tcW w:w="1311" w:type="dxa"/>
            <w:tcBorders>
              <w:top w:val="nil"/>
            </w:tcBorders>
            <w:shd w:val="clear" w:color="auto" w:fill="auto"/>
          </w:tcPr>
          <w:p w:rsidR="0088150A" w:rsidRPr="00EF5446" w:rsidRDefault="0088150A" w:rsidP="003B59E9">
            <w:pPr>
              <w:pStyle w:val="TableText"/>
              <w:jc w:val="center"/>
              <w:rPr>
                <w:rFonts w:eastAsia="Arial Unicode MS"/>
              </w:rPr>
            </w:pPr>
            <w:r w:rsidRPr="00EF5446">
              <w:rPr>
                <w:rFonts w:eastAsia="Arial Unicode MS"/>
              </w:rPr>
              <w:t>0.990</w:t>
            </w:r>
          </w:p>
        </w:tc>
        <w:tc>
          <w:tcPr>
            <w:tcW w:w="1312" w:type="dxa"/>
            <w:tcBorders>
              <w:top w:val="nil"/>
            </w:tcBorders>
            <w:shd w:val="clear" w:color="auto" w:fill="auto"/>
          </w:tcPr>
          <w:p w:rsidR="0088150A" w:rsidRPr="00EF5446" w:rsidRDefault="0088150A" w:rsidP="003B59E9">
            <w:pPr>
              <w:pStyle w:val="TableText"/>
              <w:jc w:val="center"/>
              <w:rPr>
                <w:rFonts w:eastAsia="Arial Unicode MS"/>
              </w:rPr>
            </w:pPr>
            <w:r w:rsidRPr="00EF5446">
              <w:rPr>
                <w:rFonts w:eastAsia="Arial Unicode MS"/>
              </w:rPr>
              <w:t>2.937</w:t>
            </w:r>
          </w:p>
        </w:tc>
      </w:tr>
    </w:tbl>
    <w:p w:rsidR="0088150A" w:rsidRDefault="0088150A" w:rsidP="003B59E9">
      <w:pPr>
        <w:rPr>
          <w:rFonts w:eastAsiaTheme="majorEastAsia"/>
        </w:rPr>
      </w:pPr>
    </w:p>
    <w:p w:rsidR="00A10EC0" w:rsidRDefault="0088150A" w:rsidP="003B59E9">
      <w:pPr>
        <w:pStyle w:val="Heading3"/>
        <w:numPr>
          <w:ilvl w:val="0"/>
          <w:numId w:val="0"/>
        </w:numPr>
        <w:spacing w:before="240" w:after="120"/>
        <w:rPr>
          <w:rFonts w:eastAsiaTheme="majorEastAsia"/>
        </w:rPr>
      </w:pPr>
      <w:r w:rsidRPr="0052418F">
        <w:rPr>
          <w:rFonts w:eastAsiaTheme="majorEastAsia"/>
        </w:rPr>
        <w:lastRenderedPageBreak/>
        <w:t>Implementation</w:t>
      </w:r>
    </w:p>
    <w:p w:rsidR="00A10EC0" w:rsidRDefault="0088150A" w:rsidP="003B59E9">
      <w:pPr>
        <w:rPr>
          <w:rFonts w:eastAsiaTheme="majorEastAsia"/>
        </w:rPr>
      </w:pPr>
      <w:r>
        <w:rPr>
          <w:rFonts w:eastAsiaTheme="majorEastAsia"/>
        </w:rPr>
        <w:t>Two aspects of the strategy implementation are worth noting: the extensive use of pilots to test new service and design models, and a joint work programme with DIA to address areas of mutual interest related to gambling harm.</w:t>
      </w:r>
    </w:p>
    <w:p w:rsidR="0088150A" w:rsidRPr="0052418F" w:rsidRDefault="0088150A" w:rsidP="00BF6A40">
      <w:pPr>
        <w:pStyle w:val="Heading4"/>
      </w:pPr>
      <w:r w:rsidRPr="00A10EC0">
        <w:t>Extensive use of pilots</w:t>
      </w:r>
    </w:p>
    <w:p w:rsidR="00A10EC0" w:rsidRPr="00A10EC0" w:rsidRDefault="0088150A" w:rsidP="003B59E9">
      <w:r w:rsidRPr="00A10EC0">
        <w:t>The Ministry intends to follow an open process to develop, pilot, evaluate and implement the proposals in the strategy.</w:t>
      </w:r>
    </w:p>
    <w:p w:rsidR="00A10EC0" w:rsidRDefault="0088150A" w:rsidP="003B59E9">
      <w:pPr>
        <w:spacing w:before="200"/>
      </w:pPr>
      <w:r w:rsidRPr="009E3A90">
        <w:t xml:space="preserve">In response to significant interest from stakeholders, the Ministry will hold a series of workshops to determine the size, location and characteristics of the pilots, before inviting specific proposals through a procurement process. </w:t>
      </w:r>
      <w:r>
        <w:t xml:space="preserve">Requests for proposals </w:t>
      </w:r>
      <w:r w:rsidRPr="009E3A90">
        <w:t>would set out more detailed funding proposals. Historically</w:t>
      </w:r>
      <w:r>
        <w:t>,</w:t>
      </w:r>
      <w:r w:rsidRPr="009E3A90">
        <w:t xml:space="preserve"> </w:t>
      </w:r>
      <w:r>
        <w:t xml:space="preserve">the Ministry has offered </w:t>
      </w:r>
      <w:r w:rsidRPr="009E3A90">
        <w:t xml:space="preserve">this form of funding through a competitive tender, such as </w:t>
      </w:r>
      <w:r>
        <w:t xml:space="preserve">those for </w:t>
      </w:r>
      <w:r w:rsidRPr="009E3A90">
        <w:t xml:space="preserve">the research innovation rounds held under previous </w:t>
      </w:r>
      <w:r>
        <w:t>s</w:t>
      </w:r>
      <w:r w:rsidRPr="009E3A90">
        <w:t>trategies. However, the Ministry wish</w:t>
      </w:r>
      <w:r>
        <w:t>es</w:t>
      </w:r>
      <w:r w:rsidRPr="009E3A90">
        <w:t xml:space="preserve"> to test the opportunity for greater collaboration on some pilots, to make more effective use of resources. Pilots may include both public health and intervention components</w:t>
      </w:r>
      <w:r>
        <w:t>,</w:t>
      </w:r>
      <w:r w:rsidRPr="009E3A90">
        <w:t xml:space="preserve"> and </w:t>
      </w:r>
      <w:r>
        <w:t xml:space="preserve">the Ministry will evaluate </w:t>
      </w:r>
      <w:r w:rsidRPr="009E3A90">
        <w:t>all pilots to inform future service provision.</w:t>
      </w:r>
    </w:p>
    <w:p w:rsidR="00A10EC0" w:rsidRPr="00A10EC0" w:rsidRDefault="0088150A" w:rsidP="00BF6A40">
      <w:pPr>
        <w:pStyle w:val="Heading4"/>
      </w:pPr>
      <w:r w:rsidRPr="00A10EC0">
        <w:t>Joint work programme with the Department of Internal Affairs</w:t>
      </w:r>
    </w:p>
    <w:p w:rsidR="00A10EC0" w:rsidRDefault="0088150A" w:rsidP="003B59E9">
      <w:r>
        <w:t>The proposed strategy involves</w:t>
      </w:r>
      <w:r w:rsidRPr="0052418F">
        <w:t xml:space="preserve"> areas </w:t>
      </w:r>
      <w:r>
        <w:t xml:space="preserve">in which </w:t>
      </w:r>
      <w:r w:rsidRPr="0052418F">
        <w:t>DIA</w:t>
      </w:r>
      <w:r>
        <w:t xml:space="preserve"> and the Ministry have mutual responsibilities or interests: for example, areas in which </w:t>
      </w:r>
      <w:r w:rsidRPr="0052418F">
        <w:t>the policy or regulatory settings are outside the direct control of the Ministry</w:t>
      </w:r>
      <w:r>
        <w:t xml:space="preserve">, </w:t>
      </w:r>
      <w:r w:rsidRPr="0052418F">
        <w:t xml:space="preserve">or where </w:t>
      </w:r>
      <w:r>
        <w:t>the Ministry</w:t>
      </w:r>
      <w:r w:rsidR="00A10EC0">
        <w:t>’</w:t>
      </w:r>
      <w:r>
        <w:t xml:space="preserve">s work requires input from </w:t>
      </w:r>
      <w:r w:rsidRPr="0052418F">
        <w:t>DIA</w:t>
      </w:r>
      <w:r>
        <w:t>,</w:t>
      </w:r>
      <w:r w:rsidRPr="0052418F">
        <w:t xml:space="preserve"> </w:t>
      </w:r>
      <w:r>
        <w:t xml:space="preserve">which </w:t>
      </w:r>
      <w:r w:rsidRPr="0052418F">
        <w:t>administer</w:t>
      </w:r>
      <w:r>
        <w:t>s</w:t>
      </w:r>
      <w:r w:rsidRPr="0052418F">
        <w:t xml:space="preserve"> the Act</w:t>
      </w:r>
      <w:r>
        <w:t xml:space="preserve"> and the broader regulatory and policy framework</w:t>
      </w:r>
      <w:r w:rsidRPr="0052418F">
        <w:t>.</w:t>
      </w:r>
    </w:p>
    <w:p w:rsidR="00F770B3" w:rsidRDefault="00F770B3" w:rsidP="00F770B3"/>
    <w:p w:rsidR="0088150A" w:rsidRDefault="0088150A" w:rsidP="00F770B3">
      <w:r>
        <w:t xml:space="preserve">One example is work that looks at </w:t>
      </w:r>
      <w:r w:rsidRPr="0052418F">
        <w:t xml:space="preserve">the potential to trial and evaluate an enhanced MVE database </w:t>
      </w:r>
      <w:r>
        <w:t xml:space="preserve">that </w:t>
      </w:r>
      <w:r w:rsidRPr="0052418F">
        <w:t>support</w:t>
      </w:r>
      <w:r>
        <w:t>s</w:t>
      </w:r>
      <w:r w:rsidRPr="0052418F">
        <w:t xml:space="preserve"> </w:t>
      </w:r>
      <w:r>
        <w:t>f</w:t>
      </w:r>
      <w:r w:rsidRPr="0052418F">
        <w:t xml:space="preserve">acial </w:t>
      </w:r>
      <w:r>
        <w:t>r</w:t>
      </w:r>
      <w:r w:rsidRPr="0052418F">
        <w:t>ecognition</w:t>
      </w:r>
      <w:r w:rsidR="008953A3">
        <w:t xml:space="preserve"> and other administration service improvement for exclud</w:t>
      </w:r>
      <w:r w:rsidR="00725597">
        <w:t>e</w:t>
      </w:r>
      <w:r w:rsidR="008953A3">
        <w:t>es and affected others</w:t>
      </w:r>
      <w:r w:rsidRPr="0052418F">
        <w:t xml:space="preserve">. The </w:t>
      </w:r>
      <w:r>
        <w:t xml:space="preserve">Ministry would work through the </w:t>
      </w:r>
      <w:r w:rsidRPr="0052418F">
        <w:t xml:space="preserve">details </w:t>
      </w:r>
      <w:r>
        <w:t xml:space="preserve">of such a project </w:t>
      </w:r>
      <w:r w:rsidRPr="0052418F">
        <w:t>with DIA and industry</w:t>
      </w:r>
      <w:r>
        <w:t>,</w:t>
      </w:r>
      <w:r w:rsidRPr="0052418F">
        <w:t xml:space="preserve"> and potentially other affected stakeholders, to ensure the design was robust</w:t>
      </w:r>
      <w:r>
        <w:t xml:space="preserve"> and likely to be effective</w:t>
      </w:r>
      <w:r w:rsidR="003B59E9">
        <w:t>.</w:t>
      </w:r>
    </w:p>
    <w:p w:rsidR="00F770B3" w:rsidRDefault="00F770B3" w:rsidP="00F770B3"/>
    <w:p w:rsidR="00A10EC0" w:rsidRDefault="0088150A" w:rsidP="00F770B3">
      <w:r>
        <w:t xml:space="preserve">To provide visibility for this type of work, the two departments are establishing a joint work programme covering the priority areas. They expect the </w:t>
      </w:r>
      <w:r w:rsidRPr="00124B4E">
        <w:t>programme</w:t>
      </w:r>
      <w:r w:rsidRPr="0052418F">
        <w:t xml:space="preserve"> to </w:t>
      </w:r>
      <w:r>
        <w:t>include the following topics:</w:t>
      </w:r>
    </w:p>
    <w:p w:rsidR="0088150A" w:rsidRPr="0052418F" w:rsidRDefault="0088150A" w:rsidP="00F770B3">
      <w:pPr>
        <w:pStyle w:val="Bullet"/>
      </w:pPr>
      <w:r w:rsidRPr="0052418F">
        <w:t>MVE and host responsibility</w:t>
      </w:r>
    </w:p>
    <w:p w:rsidR="0088150A" w:rsidRPr="0052418F" w:rsidRDefault="0088150A" w:rsidP="00F770B3">
      <w:pPr>
        <w:pStyle w:val="Bullet"/>
      </w:pPr>
      <w:r w:rsidRPr="0052418F">
        <w:t>use of technology</w:t>
      </w:r>
    </w:p>
    <w:p w:rsidR="00A10EC0" w:rsidRDefault="0088150A" w:rsidP="00F770B3">
      <w:pPr>
        <w:pStyle w:val="Bullet"/>
      </w:pPr>
      <w:r w:rsidRPr="0052418F">
        <w:t>research into areas of mutual interest – such as effectiveness of class 4 policies, prevalence of online gambling</w:t>
      </w:r>
      <w:r>
        <w:t xml:space="preserve"> or socioeconometric drivers of gambling expenditure</w:t>
      </w:r>
    </w:p>
    <w:p w:rsidR="0088150A" w:rsidRPr="0052418F" w:rsidRDefault="0088150A" w:rsidP="00F770B3">
      <w:pPr>
        <w:pStyle w:val="Bullet"/>
      </w:pPr>
      <w:r w:rsidRPr="0052418F">
        <w:t>NCGM locations policy</w:t>
      </w:r>
    </w:p>
    <w:p w:rsidR="00A10EC0" w:rsidRDefault="0088150A" w:rsidP="00F770B3">
      <w:pPr>
        <w:pStyle w:val="Bullet"/>
      </w:pPr>
      <w:r>
        <w:t>p</w:t>
      </w:r>
      <w:r w:rsidRPr="0052418F">
        <w:t>otential changes to the levy formula</w:t>
      </w:r>
      <w:r>
        <w:t>.</w:t>
      </w:r>
    </w:p>
    <w:p w:rsidR="00F770B3" w:rsidRDefault="00F770B3" w:rsidP="00F770B3"/>
    <w:p w:rsidR="00F770B3" w:rsidRDefault="0088150A" w:rsidP="00F770B3">
      <w:r>
        <w:t>Some elements of this work p</w:t>
      </w:r>
      <w:r w:rsidR="008953A3">
        <w:t>rogramme will be led by DIA</w:t>
      </w:r>
      <w:r>
        <w:t xml:space="preserve"> </w:t>
      </w:r>
      <w:r w:rsidR="008953A3">
        <w:t>(eg</w:t>
      </w:r>
      <w:r>
        <w:t>, changes to the levy formu</w:t>
      </w:r>
      <w:r w:rsidR="008953A3">
        <w:t>la, which is set in legislation)</w:t>
      </w:r>
      <w:r>
        <w:t xml:space="preserve"> and others will be led by the Ministry.</w:t>
      </w:r>
    </w:p>
    <w:p w:rsidR="0088150A" w:rsidRPr="00F776F5" w:rsidRDefault="00B37FD6" w:rsidP="00EE1982">
      <w:pPr>
        <w:pStyle w:val="Heading1"/>
        <w:rPr>
          <w:rFonts w:ascii="Segoe UI" w:hAnsi="Segoe UI" w:cs="Segoe UI"/>
          <w:b/>
        </w:rPr>
      </w:pPr>
      <w:bookmarkStart w:id="245" w:name="_Toc528934683"/>
      <w:bookmarkStart w:id="246" w:name="_Toc528934684"/>
      <w:bookmarkStart w:id="247" w:name="_Toc528934685"/>
      <w:bookmarkStart w:id="248" w:name="_Toc528934686"/>
      <w:bookmarkStart w:id="249" w:name="_Toc528934687"/>
      <w:bookmarkStart w:id="250" w:name="_Toc528934688"/>
      <w:bookmarkStart w:id="251" w:name="_Toc528934689"/>
      <w:bookmarkStart w:id="252" w:name="_Toc528934690"/>
      <w:bookmarkStart w:id="253" w:name="_Toc528934691"/>
      <w:bookmarkStart w:id="254" w:name="_Toc528934692"/>
      <w:bookmarkStart w:id="255" w:name="_Toc329860061"/>
      <w:bookmarkStart w:id="256" w:name="_Toc421026475"/>
      <w:bookmarkStart w:id="257" w:name="_Toc517090909"/>
      <w:bookmarkStart w:id="258" w:name="_Toc530487416"/>
      <w:bookmarkStart w:id="259" w:name="_Toc9239609"/>
      <w:bookmarkStart w:id="260" w:name="_Toc230066532"/>
      <w:bookmarkEnd w:id="245"/>
      <w:bookmarkEnd w:id="246"/>
      <w:bookmarkEnd w:id="247"/>
      <w:bookmarkEnd w:id="248"/>
      <w:bookmarkEnd w:id="249"/>
      <w:bookmarkEnd w:id="250"/>
      <w:bookmarkEnd w:id="251"/>
      <w:bookmarkEnd w:id="252"/>
      <w:bookmarkEnd w:id="253"/>
      <w:bookmarkEnd w:id="254"/>
      <w:r w:rsidRPr="00F776F5">
        <w:rPr>
          <w:rFonts w:ascii="Segoe UI" w:hAnsi="Segoe UI" w:cs="Segoe UI"/>
          <w:b/>
        </w:rPr>
        <w:lastRenderedPageBreak/>
        <w:t>L</w:t>
      </w:r>
      <w:r w:rsidR="0088150A" w:rsidRPr="00F776F5">
        <w:rPr>
          <w:rFonts w:ascii="Segoe UI" w:hAnsi="Segoe UI" w:cs="Segoe UI"/>
          <w:b/>
        </w:rPr>
        <w:t>evy rates</w:t>
      </w:r>
      <w:bookmarkEnd w:id="255"/>
      <w:r w:rsidR="0088150A" w:rsidRPr="00F776F5">
        <w:rPr>
          <w:rFonts w:ascii="Segoe UI" w:hAnsi="Segoe UI" w:cs="Segoe UI"/>
          <w:b/>
        </w:rPr>
        <w:t xml:space="preserve"> for 2019/20–2021/</w:t>
      </w:r>
      <w:bookmarkEnd w:id="256"/>
      <w:r w:rsidR="0088150A" w:rsidRPr="00F776F5">
        <w:rPr>
          <w:rFonts w:ascii="Segoe UI" w:hAnsi="Segoe UI" w:cs="Segoe UI"/>
          <w:b/>
        </w:rPr>
        <w:t>22</w:t>
      </w:r>
      <w:bookmarkEnd w:id="257"/>
      <w:bookmarkEnd w:id="258"/>
      <w:bookmarkEnd w:id="259"/>
    </w:p>
    <w:p w:rsidR="0088150A" w:rsidRPr="00C10A99" w:rsidRDefault="0088150A" w:rsidP="00EE1982">
      <w:pPr>
        <w:pStyle w:val="Heading2"/>
      </w:pPr>
      <w:bookmarkStart w:id="261" w:name="_Toc65389474"/>
      <w:bookmarkStart w:id="262" w:name="_Toc230066533"/>
      <w:bookmarkStart w:id="263" w:name="_Toc329860062"/>
      <w:bookmarkStart w:id="264" w:name="_Toc421026476"/>
      <w:bookmarkStart w:id="265" w:name="_Toc517090910"/>
      <w:bookmarkStart w:id="266" w:name="_Toc530487417"/>
      <w:bookmarkStart w:id="267" w:name="_Toc9239610"/>
      <w:bookmarkEnd w:id="260"/>
      <w:r w:rsidRPr="00C10A99">
        <w:t>Background</w:t>
      </w:r>
      <w:bookmarkEnd w:id="261"/>
      <w:bookmarkEnd w:id="262"/>
      <w:bookmarkEnd w:id="263"/>
      <w:bookmarkEnd w:id="264"/>
      <w:bookmarkEnd w:id="265"/>
      <w:bookmarkEnd w:id="266"/>
      <w:bookmarkEnd w:id="267"/>
    </w:p>
    <w:p w:rsidR="006536C0" w:rsidRDefault="0088150A" w:rsidP="006536C0">
      <w:r w:rsidRPr="00E312E8">
        <w:t>Section 319(2) o</w:t>
      </w:r>
      <w:r w:rsidRPr="00C10A99">
        <w:t xml:space="preserve">f the Act states that the purpose of the </w:t>
      </w:r>
      <w:r>
        <w:t xml:space="preserve">problem gambling </w:t>
      </w:r>
      <w:r w:rsidRPr="00C10A99">
        <w:t xml:space="preserve">levy is </w:t>
      </w:r>
      <w:r w:rsidR="00A10EC0">
        <w:t>‘</w:t>
      </w:r>
      <w:r w:rsidRPr="00C10A99">
        <w:t>to recover the cost of developing, managing, and delivering the integrated problem gambling strategy</w:t>
      </w:r>
      <w:r w:rsidR="00A10EC0">
        <w:t>’</w:t>
      </w:r>
      <w:r w:rsidRPr="00C10A99">
        <w:t>.</w:t>
      </w:r>
      <w:r w:rsidR="008B5930">
        <w:t xml:space="preserve"> </w:t>
      </w:r>
      <w:r w:rsidRPr="00C10A99">
        <w:t>The levy rates are set by regulation at least every three years.</w:t>
      </w:r>
      <w:r w:rsidR="008B5930">
        <w:t xml:space="preserve"> The next levy period is from 1 July 2019 to 30 June 2022</w:t>
      </w:r>
      <w:r w:rsidR="00393870">
        <w:t xml:space="preserve"> to </w:t>
      </w:r>
      <w:r w:rsidR="008B5930">
        <w:t>match</w:t>
      </w:r>
      <w:r w:rsidR="00393870">
        <w:t xml:space="preserve"> </w:t>
      </w:r>
      <w:r w:rsidR="008B5930">
        <w:t>the next</w:t>
      </w:r>
      <w:r w:rsidR="006F2732">
        <w:t xml:space="preserve"> </w:t>
      </w:r>
      <w:r w:rsidR="00D729F8">
        <w:t>s</w:t>
      </w:r>
      <w:r w:rsidR="008B5930">
        <w:t>trategy.</w:t>
      </w:r>
      <w:r w:rsidRPr="00C10A99">
        <w:t xml:space="preserve"> </w:t>
      </w:r>
    </w:p>
    <w:p w:rsidR="006536C0" w:rsidRDefault="006536C0" w:rsidP="006536C0"/>
    <w:p w:rsidR="006536C0" w:rsidRPr="00C10A99" w:rsidRDefault="006536C0" w:rsidP="006536C0">
      <w:r w:rsidRPr="00C10A99">
        <w:t>Since the levy was first set in 2004, it has applied to gambling operators in four sectors:</w:t>
      </w:r>
      <w:r>
        <w:t xml:space="preserve"> </w:t>
      </w:r>
      <w:r w:rsidRPr="00C10A99">
        <w:t>NCGM operators</w:t>
      </w:r>
      <w:r>
        <w:t xml:space="preserve">, </w:t>
      </w:r>
      <w:r w:rsidRPr="00C10A99">
        <w:t>casinos</w:t>
      </w:r>
      <w:r>
        <w:t xml:space="preserve">, </w:t>
      </w:r>
      <w:r w:rsidRPr="00C10A99">
        <w:t>NZRB</w:t>
      </w:r>
      <w:r>
        <w:t xml:space="preserve"> and </w:t>
      </w:r>
      <w:r w:rsidRPr="00C10A99">
        <w:t>NZLC.</w:t>
      </w:r>
    </w:p>
    <w:p w:rsidR="0088150A" w:rsidRDefault="0088150A" w:rsidP="00826CCE"/>
    <w:p w:rsidR="006536C0" w:rsidRPr="00C10A99" w:rsidRDefault="006536C0" w:rsidP="006536C0">
      <w:r>
        <w:t>There have been suggestions for some years that spending on NCGM</w:t>
      </w:r>
      <w:r w:rsidR="005D4A5D">
        <w:t>s</w:t>
      </w:r>
      <w:r>
        <w:t xml:space="preserve"> in clubs or venues operated by NZRB should be levied separately from </w:t>
      </w:r>
      <w:r w:rsidR="005D4A5D">
        <w:t xml:space="preserve">the rest of the </w:t>
      </w:r>
      <w:r>
        <w:t>NCGM</w:t>
      </w:r>
      <w:r w:rsidR="005D4A5D">
        <w:t xml:space="preserve"> sector</w:t>
      </w:r>
      <w:r w:rsidR="00B82D88">
        <w:t xml:space="preserve">. The 2018 </w:t>
      </w:r>
      <w:r>
        <w:t xml:space="preserve">consultation document indicated that the Ministry and DIA would consider </w:t>
      </w:r>
      <w:r w:rsidR="00B82D88">
        <w:t xml:space="preserve">changes to the number, size or composition of each gambling sector used to calculate the levy </w:t>
      </w:r>
      <w:r>
        <w:t>in the</w:t>
      </w:r>
      <w:r w:rsidR="00B82D88">
        <w:t xml:space="preserve"> </w:t>
      </w:r>
      <w:r>
        <w:t xml:space="preserve">context of </w:t>
      </w:r>
      <w:r w:rsidR="00B82D88">
        <w:t xml:space="preserve">possible </w:t>
      </w:r>
      <w:r>
        <w:t xml:space="preserve">changes to the levy formula after decisions about the next levy period, which would </w:t>
      </w:r>
      <w:r w:rsidR="007609D2">
        <w:t xml:space="preserve">be </w:t>
      </w:r>
      <w:r>
        <w:t>ma</w:t>
      </w:r>
      <w:r w:rsidR="007609D2">
        <w:t>d</w:t>
      </w:r>
      <w:r w:rsidR="00C20FB1">
        <w:t>e</w:t>
      </w:r>
      <w:r>
        <w:t xml:space="preserve"> using the current policy settings.</w:t>
      </w:r>
      <w:r w:rsidR="00B82D88">
        <w:t xml:space="preserve"> Officials </w:t>
      </w:r>
      <w:r>
        <w:t xml:space="preserve">will inform stakeholders of </w:t>
      </w:r>
      <w:r w:rsidR="007609D2">
        <w:t xml:space="preserve">potential changes to the levy formula </w:t>
      </w:r>
      <w:r>
        <w:t>in due course.</w:t>
      </w:r>
    </w:p>
    <w:p w:rsidR="0088150A" w:rsidRPr="00C10A99" w:rsidRDefault="0088150A" w:rsidP="00EE1982">
      <w:pPr>
        <w:pStyle w:val="Heading2"/>
      </w:pPr>
      <w:bookmarkStart w:id="268" w:name="_Toc230066534"/>
      <w:bookmarkStart w:id="269" w:name="_Toc329860063"/>
      <w:bookmarkStart w:id="270" w:name="_Toc421026478"/>
      <w:bookmarkStart w:id="271" w:name="_Toc517090912"/>
      <w:bookmarkStart w:id="272" w:name="_Toc530487419"/>
      <w:bookmarkStart w:id="273" w:name="_Toc9239611"/>
      <w:r w:rsidRPr="00C10A99">
        <w:t>Process for setting the levy</w:t>
      </w:r>
      <w:bookmarkEnd w:id="268"/>
      <w:bookmarkEnd w:id="269"/>
      <w:r w:rsidRPr="00C10A99">
        <w:t xml:space="preserve"> rates</w:t>
      </w:r>
      <w:bookmarkEnd w:id="270"/>
      <w:bookmarkEnd w:id="271"/>
      <w:bookmarkEnd w:id="272"/>
      <w:bookmarkEnd w:id="273"/>
    </w:p>
    <w:p w:rsidR="0058281D" w:rsidRDefault="0088150A" w:rsidP="00E93A4A">
      <w:r w:rsidRPr="00E312E8">
        <w:t xml:space="preserve">The Act sets out the process </w:t>
      </w:r>
      <w:r>
        <w:t>for developing</w:t>
      </w:r>
      <w:r w:rsidRPr="00E312E8">
        <w:t xml:space="preserve"> and set</w:t>
      </w:r>
      <w:r>
        <w:t>ting</w:t>
      </w:r>
      <w:r w:rsidRPr="00E312E8">
        <w:t xml:space="preserve"> the levy rates needed to recover the cost of the strategy</w:t>
      </w:r>
      <w:r>
        <w:t xml:space="preserve"> (refer to </w:t>
      </w:r>
      <w:r w:rsidRPr="00E312E8">
        <w:t>sections 318</w:t>
      </w:r>
      <w:r>
        <w:t>–</w:t>
      </w:r>
      <w:r w:rsidRPr="00E312E8">
        <w:t>320</w:t>
      </w:r>
      <w:r>
        <w:t xml:space="preserve"> of the Act)</w:t>
      </w:r>
      <w:r w:rsidRPr="00E312E8">
        <w:t>.</w:t>
      </w:r>
      <w:r w:rsidR="008B5930">
        <w:t xml:space="preserve"> </w:t>
      </w:r>
      <w:r w:rsidRPr="00E312E8">
        <w:t xml:space="preserve">As part of this process, the Ministry </w:t>
      </w:r>
      <w:r>
        <w:t xml:space="preserve">consulted </w:t>
      </w:r>
      <w:r w:rsidR="0058281D">
        <w:t xml:space="preserve">extensively </w:t>
      </w:r>
      <w:r>
        <w:t xml:space="preserve">on its </w:t>
      </w:r>
      <w:r w:rsidRPr="00E312E8">
        <w:t>estimated annual funding requirements</w:t>
      </w:r>
      <w:r>
        <w:t>,</w:t>
      </w:r>
      <w:r w:rsidRPr="00E312E8">
        <w:t xml:space="preserve"> and four alternative sets of esti</w:t>
      </w:r>
      <w:r w:rsidR="00B82D88">
        <w:t xml:space="preserve">mated levy rates. </w:t>
      </w:r>
      <w:r w:rsidR="00E661A8">
        <w:t xml:space="preserve">After </w:t>
      </w:r>
      <w:r w:rsidR="00B82D88">
        <w:t>consider</w:t>
      </w:r>
      <w:r w:rsidR="00E661A8">
        <w:t>ing</w:t>
      </w:r>
      <w:r w:rsidR="00B82D88">
        <w:t xml:space="preserve"> submissions</w:t>
      </w:r>
      <w:r w:rsidR="00E661A8">
        <w:t>,</w:t>
      </w:r>
      <w:r w:rsidR="00B82D88">
        <w:t xml:space="preserve"> </w:t>
      </w:r>
      <w:r w:rsidR="0058281D">
        <w:t xml:space="preserve">the Ministry revised its consultation document as it considered appropriate and submitted these proposals to the Gambling Commission </w:t>
      </w:r>
      <w:r w:rsidR="006F2732">
        <w:t>a</w:t>
      </w:r>
      <w:r w:rsidR="0058281D">
        <w:t xml:space="preserve">nd responsible Ministers. </w:t>
      </w:r>
    </w:p>
    <w:p w:rsidR="008B5930" w:rsidRDefault="0058281D" w:rsidP="0058281D">
      <w:pPr>
        <w:spacing w:before="200"/>
      </w:pPr>
      <w:r>
        <w:t>The Gambling Commission obtained its own advice and convened a consultation meeting on 30 January 2019. It submitted its report to responsible Ministers on 14 February 2019.</w:t>
      </w:r>
      <w:r w:rsidR="0088150A" w:rsidRPr="00C10A99">
        <w:t xml:space="preserve"> </w:t>
      </w:r>
      <w:r w:rsidR="008B5930">
        <w:t xml:space="preserve"> </w:t>
      </w:r>
    </w:p>
    <w:p w:rsidR="0088150A" w:rsidRPr="008C498B" w:rsidRDefault="0058281D" w:rsidP="0058281D">
      <w:pPr>
        <w:spacing w:before="200"/>
      </w:pPr>
      <w:r>
        <w:t>After considering the Gambling Commission report, the responsible Ministers recommend</w:t>
      </w:r>
      <w:r w:rsidR="007609D2">
        <w:t>ed</w:t>
      </w:r>
      <w:r>
        <w:t xml:space="preserve"> new problem gambling levy rates and regulations </w:t>
      </w:r>
      <w:r w:rsidR="0088150A" w:rsidRPr="008C498B">
        <w:t>to the Governor-General</w:t>
      </w:r>
      <w:r>
        <w:t xml:space="preserve">. </w:t>
      </w:r>
    </w:p>
    <w:p w:rsidR="0088150A" w:rsidRPr="00C10A99" w:rsidRDefault="0088150A" w:rsidP="00826CCE">
      <w:bookmarkStart w:id="274" w:name="_Toc65389475"/>
    </w:p>
    <w:p w:rsidR="0088150A" w:rsidRPr="00E0156C" w:rsidRDefault="0088150A" w:rsidP="00EE1982">
      <w:pPr>
        <w:pStyle w:val="Heading2"/>
      </w:pPr>
      <w:bookmarkStart w:id="275" w:name="_Toc230066536"/>
      <w:bookmarkStart w:id="276" w:name="_Toc329860064"/>
      <w:bookmarkStart w:id="277" w:name="_Toc421026479"/>
      <w:bookmarkStart w:id="278" w:name="_Toc517090913"/>
      <w:bookmarkStart w:id="279" w:name="_Toc530487420"/>
      <w:bookmarkStart w:id="280" w:name="_Toc9239612"/>
      <w:r w:rsidRPr="00C10A99">
        <w:lastRenderedPageBreak/>
        <w:t>The levy</w:t>
      </w:r>
      <w:bookmarkEnd w:id="274"/>
      <w:r w:rsidRPr="00C10A99">
        <w:t xml:space="preserve"> formula</w:t>
      </w:r>
      <w:bookmarkEnd w:id="275"/>
      <w:bookmarkEnd w:id="276"/>
      <w:bookmarkEnd w:id="277"/>
      <w:bookmarkEnd w:id="278"/>
      <w:bookmarkEnd w:id="279"/>
      <w:bookmarkEnd w:id="280"/>
    </w:p>
    <w:p w:rsidR="0088150A" w:rsidRPr="00E312E8" w:rsidRDefault="0088150A" w:rsidP="00826CCE">
      <w:pPr>
        <w:keepNext/>
      </w:pPr>
      <w:r w:rsidRPr="00E312E8">
        <w:t xml:space="preserve">The formula in section 320 of the Act </w:t>
      </w:r>
      <w:r w:rsidR="00A10EC0">
        <w:t>‘</w:t>
      </w:r>
      <w:r w:rsidRPr="00E312E8">
        <w:t>provides a mechanism for allocating among gambling operators, and collecting from them, the approximate cost</w:t>
      </w:r>
      <w:r w:rsidR="00A10EC0">
        <w:t>’</w:t>
      </w:r>
      <w:r w:rsidRPr="00E312E8">
        <w:t xml:space="preserve"> of the strategy.</w:t>
      </w:r>
    </w:p>
    <w:p w:rsidR="0088150A" w:rsidRDefault="0088150A" w:rsidP="00826CCE">
      <w:pPr>
        <w:keepNext/>
      </w:pPr>
    </w:p>
    <w:p w:rsidR="0088150A" w:rsidRPr="00E312E8" w:rsidRDefault="0088150A" w:rsidP="00826CCE">
      <w:pPr>
        <w:keepNext/>
      </w:pPr>
      <w:r w:rsidRPr="00E312E8">
        <w:t>The formula is:</w:t>
      </w:r>
    </w:p>
    <w:p w:rsidR="0088150A" w:rsidRPr="00C10A99" w:rsidRDefault="0088150A" w:rsidP="00826CCE">
      <w:pPr>
        <w:keepNext/>
        <w:spacing w:before="120"/>
        <w:ind w:left="567"/>
      </w:pPr>
      <w:r w:rsidRPr="00C10A99">
        <w:t xml:space="preserve">Levy rate for each sector = </w:t>
      </w:r>
      <w:r w:rsidRPr="0088653D">
        <w:rPr>
          <w:u w:val="single"/>
        </w:rPr>
        <w:t>({[A x W1] + [B x W2]} x C) plus or minus R</w:t>
      </w:r>
    </w:p>
    <w:p w:rsidR="0088150A" w:rsidRPr="00C10A99" w:rsidRDefault="0088150A" w:rsidP="00826CCE">
      <w:pPr>
        <w:keepNext/>
        <w:ind w:left="5103"/>
      </w:pPr>
      <w:r w:rsidRPr="00C10A99">
        <w:tab/>
        <w:t>D</w:t>
      </w:r>
    </w:p>
    <w:p w:rsidR="0088150A" w:rsidRPr="00C10A99" w:rsidRDefault="0088150A" w:rsidP="00826CCE">
      <w:pPr>
        <w:keepNext/>
        <w:ind w:left="567"/>
      </w:pPr>
      <w:r w:rsidRPr="00C10A99">
        <w:t>where:</w:t>
      </w:r>
    </w:p>
    <w:p w:rsidR="0088150A" w:rsidRPr="00C10A99" w:rsidRDefault="0088150A" w:rsidP="00826CCE">
      <w:pPr>
        <w:keepNext/>
        <w:spacing w:before="120"/>
        <w:ind w:left="993" w:hanging="426"/>
      </w:pPr>
      <w:r w:rsidRPr="0091035F">
        <w:rPr>
          <w:b/>
          <w:bCs/>
        </w:rPr>
        <w:t>A</w:t>
      </w:r>
      <w:r w:rsidRPr="00C10A99">
        <w:t xml:space="preserve"> </w:t>
      </w:r>
      <w:r>
        <w:t>=</w:t>
      </w:r>
      <w:r>
        <w:tab/>
      </w:r>
      <w:r w:rsidRPr="00C10A99">
        <w:t>the estimated current expenditure in a sector divided by the total estimated current player expenditure in all sectors subject to the levy</w:t>
      </w:r>
    </w:p>
    <w:p w:rsidR="0088150A" w:rsidRPr="00C10A99" w:rsidRDefault="0088150A" w:rsidP="00F770B3">
      <w:pPr>
        <w:keepLines/>
        <w:spacing w:before="120"/>
        <w:ind w:left="992" w:hanging="425"/>
      </w:pPr>
      <w:r w:rsidRPr="0091035F">
        <w:rPr>
          <w:b/>
          <w:bCs/>
        </w:rPr>
        <w:t>B</w:t>
      </w:r>
      <w:r w:rsidRPr="00C10A99">
        <w:t xml:space="preserve"> =</w:t>
      </w:r>
      <w:r>
        <w:tab/>
      </w:r>
      <w:r w:rsidRPr="00C10A99">
        <w:t>the number of customer presentations to problem gambling services that can be attributed to gambling in a sector divided by the total number of customer presentations to problem gambling services in which a sector that is subject to the levy can be identified</w:t>
      </w:r>
    </w:p>
    <w:p w:rsidR="0088150A" w:rsidRPr="00C10A99" w:rsidRDefault="0088150A" w:rsidP="0088150A">
      <w:pPr>
        <w:spacing w:before="120"/>
        <w:ind w:left="992" w:hanging="425"/>
      </w:pPr>
      <w:r w:rsidRPr="0091035F">
        <w:rPr>
          <w:b/>
          <w:bCs/>
        </w:rPr>
        <w:t>C</w:t>
      </w:r>
      <w:r w:rsidRPr="00C10A99">
        <w:t xml:space="preserve"> =</w:t>
      </w:r>
      <w:r>
        <w:tab/>
      </w:r>
      <w:r w:rsidRPr="00C10A99">
        <w:t>the funding requirement for the period for which the levy is payable</w:t>
      </w:r>
    </w:p>
    <w:p w:rsidR="0088150A" w:rsidRPr="00C10A99" w:rsidRDefault="0088150A" w:rsidP="0088150A">
      <w:pPr>
        <w:spacing w:before="120"/>
        <w:ind w:left="993" w:hanging="426"/>
      </w:pPr>
      <w:r w:rsidRPr="0091035F">
        <w:rPr>
          <w:b/>
          <w:bCs/>
        </w:rPr>
        <w:t>D</w:t>
      </w:r>
      <w:r w:rsidRPr="00C10A99">
        <w:t xml:space="preserve"> =</w:t>
      </w:r>
      <w:r>
        <w:tab/>
      </w:r>
      <w:r w:rsidRPr="00C10A99">
        <w:t xml:space="preserve">the forecast player expenditure in a sector for the period </w:t>
      </w:r>
      <w:r>
        <w:t>for</w:t>
      </w:r>
      <w:r w:rsidRPr="00C10A99">
        <w:t xml:space="preserve"> which the levy is payable</w:t>
      </w:r>
    </w:p>
    <w:p w:rsidR="0088150A" w:rsidRDefault="0088150A" w:rsidP="0088150A">
      <w:pPr>
        <w:spacing w:before="120"/>
        <w:ind w:left="993" w:hanging="426"/>
      </w:pPr>
      <w:r w:rsidRPr="0091035F">
        <w:rPr>
          <w:b/>
          <w:bCs/>
        </w:rPr>
        <w:t>R</w:t>
      </w:r>
      <w:r w:rsidRPr="0091035F">
        <w:rPr>
          <w:bCs/>
        </w:rPr>
        <w:t xml:space="preserve"> =</w:t>
      </w:r>
      <w:r>
        <w:rPr>
          <w:bCs/>
        </w:rPr>
        <w:tab/>
      </w:r>
      <w:r w:rsidRPr="0091035F">
        <w:rPr>
          <w:bCs/>
        </w:rPr>
        <w:t>the estimated under-recovery or over-recovery of levy from a sector in the previous levy periods</w:t>
      </w:r>
      <w:r w:rsidRPr="00826CCE">
        <w:rPr>
          <w:rStyle w:val="FootnoteReference"/>
        </w:rPr>
        <w:footnoteReference w:id="16"/>
      </w:r>
    </w:p>
    <w:p w:rsidR="0088150A" w:rsidRPr="00C10A99" w:rsidRDefault="0088150A" w:rsidP="0088150A">
      <w:pPr>
        <w:spacing w:before="120"/>
        <w:ind w:left="993" w:hanging="426"/>
      </w:pPr>
      <w:r w:rsidRPr="006F2732">
        <w:rPr>
          <w:b/>
          <w:bCs/>
        </w:rPr>
        <w:t>W1</w:t>
      </w:r>
      <w:r w:rsidRPr="006F2732">
        <w:t xml:space="preserve"> and </w:t>
      </w:r>
      <w:r w:rsidRPr="006F2732">
        <w:rPr>
          <w:b/>
          <w:bCs/>
        </w:rPr>
        <w:t>W2</w:t>
      </w:r>
      <w:r w:rsidRPr="00E93A4A">
        <w:rPr>
          <w:vertAlign w:val="subscript"/>
        </w:rPr>
        <w:t xml:space="preserve"> </w:t>
      </w:r>
      <w:r w:rsidRPr="00C10A99">
        <w:t>are weights, the sum of which is 1.</w:t>
      </w:r>
    </w:p>
    <w:p w:rsidR="0088150A" w:rsidRDefault="0088150A" w:rsidP="00826CCE"/>
    <w:p w:rsidR="0058281D" w:rsidRDefault="0088150A" w:rsidP="00826CCE">
      <w:r w:rsidRPr="00C10A99">
        <w:t>The top line of the formula determines the dollar amount to be paid by each sector</w:t>
      </w:r>
      <w:r w:rsidR="0058281D">
        <w:t xml:space="preserve"> as its share of the total levy amount, taking into account any over</w:t>
      </w:r>
      <w:r w:rsidR="00E624A4">
        <w:t>-</w:t>
      </w:r>
      <w:r w:rsidR="0058281D">
        <w:t xml:space="preserve"> or under</w:t>
      </w:r>
      <w:r w:rsidR="00E624A4">
        <w:t>-</w:t>
      </w:r>
      <w:r w:rsidR="0058281D">
        <w:t>recovery in previous levy periods.</w:t>
      </w:r>
    </w:p>
    <w:p w:rsidR="0058281D" w:rsidRDefault="0058281D" w:rsidP="00826CCE"/>
    <w:p w:rsidR="00643EE8" w:rsidRDefault="0088150A" w:rsidP="00826CCE">
      <w:r w:rsidRPr="00C10A99">
        <w:t xml:space="preserve">The bottom line of the formula </w:t>
      </w:r>
      <w:r>
        <w:t>(</w:t>
      </w:r>
      <w:r w:rsidR="0058281D" w:rsidRPr="00C672E2">
        <w:rPr>
          <w:b/>
        </w:rPr>
        <w:t>D</w:t>
      </w:r>
      <w:r w:rsidR="0058281D">
        <w:t xml:space="preserve">, </w:t>
      </w:r>
      <w:r>
        <w:t xml:space="preserve">forecast player expenditure in the sector) </w:t>
      </w:r>
      <w:r w:rsidRPr="00C10A99">
        <w:t>determines the levy rate that is necessary for a sector to pay its required contribution</w:t>
      </w:r>
      <w:r w:rsidR="0058281D">
        <w:t xml:space="preserve"> </w:t>
      </w:r>
      <w:r w:rsidR="008B5930">
        <w:t xml:space="preserve">(the dollar amount) </w:t>
      </w:r>
      <w:r w:rsidR="0058281D">
        <w:t>determined by the top line of the formula</w:t>
      </w:r>
      <w:r w:rsidRPr="00C10A99">
        <w:t>.</w:t>
      </w:r>
      <w:r w:rsidR="008B5930">
        <w:t xml:space="preserve"> All other things being equal, the higher the forecast player expenditure for a sector, the lower will be its levy rate. </w:t>
      </w:r>
      <w:r w:rsidR="00643EE8">
        <w:t>Player expenditure for each sector is defined in section 320(3) of the Act.</w:t>
      </w:r>
    </w:p>
    <w:p w:rsidR="00643EE8" w:rsidRDefault="00643EE8" w:rsidP="00826CCE"/>
    <w:p w:rsidR="0088150A" w:rsidRDefault="00643EE8" w:rsidP="00826CCE">
      <w:r>
        <w:t xml:space="preserve">Each </w:t>
      </w:r>
      <w:r w:rsidR="008B5930">
        <w:t xml:space="preserve">levy rate is the amount per dollar of player expenditure a sector must pay. A rate of </w:t>
      </w:r>
      <w:r w:rsidR="006F2732">
        <w:t>0</w:t>
      </w:r>
      <w:r w:rsidR="008B5930">
        <w:t>.85 means a sector must pay 0.85 cents per dollar</w:t>
      </w:r>
      <w:r>
        <w:t xml:space="preserve"> for every dollar of player expenditure in the levy period to which the rate applies. </w:t>
      </w:r>
    </w:p>
    <w:p w:rsidR="0088150A" w:rsidRPr="00C10A99" w:rsidRDefault="0088150A" w:rsidP="00826CCE">
      <w:pPr>
        <w:pStyle w:val="Heading3"/>
        <w:numPr>
          <w:ilvl w:val="0"/>
          <w:numId w:val="0"/>
        </w:numPr>
      </w:pPr>
      <w:bookmarkStart w:id="281" w:name="_Toc65389476"/>
      <w:r w:rsidRPr="00C10A99">
        <w:t>Estimated current player expenditure</w:t>
      </w:r>
      <w:bookmarkEnd w:id="281"/>
      <w:r w:rsidRPr="00C10A99">
        <w:t xml:space="preserve"> (A)</w:t>
      </w:r>
    </w:p>
    <w:p w:rsidR="0088150A" w:rsidRDefault="006F2732" w:rsidP="00E93A4A">
      <w:pPr>
        <w:rPr>
          <w:lang w:eastAsia="en-US"/>
        </w:rPr>
      </w:pPr>
      <w:bookmarkStart w:id="282" w:name="_Toc422409758"/>
      <w:bookmarkStart w:id="283" w:name="_Toc422840825"/>
      <w:r w:rsidRPr="00C10A99">
        <w:t xml:space="preserve">The formula in the Act requires the levy rate calculation to take into account the latest, most reliable and most appropriate sources of information </w:t>
      </w:r>
      <w:r>
        <w:t xml:space="preserve">on player expenditure. The figures used are DIA estimates of player expenditure for each sector for 2017/18. </w:t>
      </w:r>
      <w:r w:rsidR="00D05007">
        <w:t>The</w:t>
      </w:r>
      <w:r w:rsidR="00582CC7">
        <w:t xml:space="preserve"> </w:t>
      </w:r>
      <w:r w:rsidR="0088150A" w:rsidRPr="00C10A99">
        <w:rPr>
          <w:lang w:eastAsia="en-US"/>
        </w:rPr>
        <w:t>estimate</w:t>
      </w:r>
      <w:r>
        <w:rPr>
          <w:lang w:eastAsia="en-US"/>
        </w:rPr>
        <w:t xml:space="preserve">s for </w:t>
      </w:r>
      <w:r w:rsidR="00643EE8">
        <w:rPr>
          <w:lang w:eastAsia="en-US"/>
        </w:rPr>
        <w:t>each sector</w:t>
      </w:r>
      <w:r>
        <w:rPr>
          <w:lang w:eastAsia="en-US"/>
        </w:rPr>
        <w:t xml:space="preserve"> </w:t>
      </w:r>
      <w:r w:rsidR="00643EE8">
        <w:rPr>
          <w:lang w:eastAsia="en-US"/>
        </w:rPr>
        <w:t xml:space="preserve">take into account </w:t>
      </w:r>
      <w:r w:rsidR="001728B6">
        <w:rPr>
          <w:lang w:eastAsia="en-US"/>
        </w:rPr>
        <w:t>the latest</w:t>
      </w:r>
      <w:r w:rsidR="009F500C">
        <w:rPr>
          <w:lang w:eastAsia="en-US"/>
        </w:rPr>
        <w:t>,</w:t>
      </w:r>
      <w:r w:rsidR="001728B6">
        <w:rPr>
          <w:lang w:eastAsia="en-US"/>
        </w:rPr>
        <w:t xml:space="preserve"> most reliable and most appropriate </w:t>
      </w:r>
      <w:r w:rsidR="0088150A" w:rsidRPr="00C10A99">
        <w:rPr>
          <w:lang w:eastAsia="en-US"/>
        </w:rPr>
        <w:t xml:space="preserve">sources of information, including </w:t>
      </w:r>
      <w:r w:rsidR="005D4A5D">
        <w:rPr>
          <w:lang w:eastAsia="en-US"/>
        </w:rPr>
        <w:t>DIA’</w:t>
      </w:r>
      <w:r w:rsidR="005D4A5D" w:rsidRPr="00C10A99">
        <w:rPr>
          <w:lang w:eastAsia="en-US"/>
        </w:rPr>
        <w:t xml:space="preserve">s </w:t>
      </w:r>
      <w:r w:rsidR="0088150A" w:rsidRPr="00C10A99">
        <w:rPr>
          <w:lang w:eastAsia="en-US"/>
        </w:rPr>
        <w:t xml:space="preserve">NCGM electronic monitoring </w:t>
      </w:r>
      <w:r w:rsidR="0088150A" w:rsidRPr="00C10A99">
        <w:rPr>
          <w:lang w:eastAsia="en-US"/>
        </w:rPr>
        <w:lastRenderedPageBreak/>
        <w:t>system</w:t>
      </w:r>
      <w:r w:rsidR="0088150A">
        <w:rPr>
          <w:lang w:eastAsia="en-US"/>
        </w:rPr>
        <w:t xml:space="preserve"> (EMS)</w:t>
      </w:r>
      <w:r w:rsidR="0088150A" w:rsidRPr="00C10A99">
        <w:rPr>
          <w:lang w:eastAsia="en-US"/>
        </w:rPr>
        <w:t>, gambling operators</w:t>
      </w:r>
      <w:r w:rsidR="00A10EC0">
        <w:rPr>
          <w:lang w:eastAsia="en-US"/>
        </w:rPr>
        <w:t>’</w:t>
      </w:r>
      <w:r w:rsidR="0088150A" w:rsidRPr="00C10A99">
        <w:rPr>
          <w:lang w:eastAsia="en-US"/>
        </w:rPr>
        <w:t xml:space="preserve"> annual and half-yearly reports and information from</w:t>
      </w:r>
      <w:r w:rsidR="0088150A">
        <w:rPr>
          <w:lang w:eastAsia="en-US"/>
        </w:rPr>
        <w:t xml:space="preserve"> </w:t>
      </w:r>
      <w:r w:rsidR="00117054">
        <w:rPr>
          <w:lang w:eastAsia="en-US"/>
        </w:rPr>
        <w:t>the Inland Revenue Department (</w:t>
      </w:r>
      <w:r w:rsidR="0088150A" w:rsidRPr="00C10A99">
        <w:rPr>
          <w:lang w:eastAsia="en-US"/>
        </w:rPr>
        <w:t>IRD</w:t>
      </w:r>
      <w:r w:rsidR="00117054">
        <w:rPr>
          <w:lang w:eastAsia="en-US"/>
        </w:rPr>
        <w:t>)</w:t>
      </w:r>
      <w:r w:rsidR="0088150A" w:rsidRPr="00C10A99">
        <w:rPr>
          <w:lang w:eastAsia="en-US"/>
        </w:rPr>
        <w:t>.</w:t>
      </w:r>
      <w:r w:rsidR="0088150A" w:rsidRPr="00826CCE">
        <w:rPr>
          <w:rStyle w:val="FootnoteReference"/>
        </w:rPr>
        <w:footnoteReference w:id="17"/>
      </w:r>
      <w:r w:rsidR="0088150A" w:rsidRPr="00E312E8">
        <w:rPr>
          <w:lang w:eastAsia="en-US"/>
        </w:rPr>
        <w:t xml:space="preserve"> Other data on gambling expenditure </w:t>
      </w:r>
      <w:r w:rsidR="0088150A">
        <w:rPr>
          <w:lang w:eastAsia="en-US"/>
        </w:rPr>
        <w:t xml:space="preserve">is </w:t>
      </w:r>
      <w:r w:rsidR="0088150A" w:rsidRPr="00E312E8">
        <w:rPr>
          <w:lang w:eastAsia="en-US"/>
        </w:rPr>
        <w:t>available on DIA</w:t>
      </w:r>
      <w:r w:rsidR="00A10EC0">
        <w:rPr>
          <w:lang w:eastAsia="en-US"/>
        </w:rPr>
        <w:t>’</w:t>
      </w:r>
      <w:r w:rsidR="0088150A">
        <w:rPr>
          <w:lang w:eastAsia="en-US"/>
        </w:rPr>
        <w:t>s</w:t>
      </w:r>
      <w:r w:rsidR="0088150A" w:rsidRPr="00E312E8">
        <w:rPr>
          <w:lang w:eastAsia="en-US"/>
        </w:rPr>
        <w:t xml:space="preserve"> website</w:t>
      </w:r>
      <w:r w:rsidR="0088150A">
        <w:rPr>
          <w:lang w:eastAsia="en-US"/>
        </w:rPr>
        <w:t xml:space="preserve"> (</w:t>
      </w:r>
      <w:hyperlink r:id="rId46" w:history="1">
        <w:r w:rsidR="0088150A" w:rsidRPr="0041634D">
          <w:rPr>
            <w:rStyle w:val="Hyperlink"/>
            <w:rFonts w:eastAsia="MS Gothic"/>
          </w:rPr>
          <w:t>www.dia.govt.nz</w:t>
        </w:r>
      </w:hyperlink>
      <w:r w:rsidR="0088150A">
        <w:rPr>
          <w:lang w:eastAsia="en-US"/>
        </w:rPr>
        <w:t>).</w:t>
      </w:r>
    </w:p>
    <w:p w:rsidR="0088150A" w:rsidRPr="00C10A99" w:rsidRDefault="0088150A" w:rsidP="00826CCE">
      <w:pPr>
        <w:pStyle w:val="Heading3"/>
        <w:numPr>
          <w:ilvl w:val="0"/>
          <w:numId w:val="0"/>
        </w:numPr>
      </w:pPr>
      <w:bookmarkStart w:id="284" w:name="_Toc65389477"/>
      <w:bookmarkEnd w:id="282"/>
      <w:bookmarkEnd w:id="283"/>
      <w:r w:rsidRPr="00C10A99">
        <w:t>Presentations (B)</w:t>
      </w:r>
      <w:bookmarkEnd w:id="284"/>
    </w:p>
    <w:p w:rsidR="0088150A" w:rsidRPr="00E312E8" w:rsidRDefault="0088150A" w:rsidP="00826CCE">
      <w:r w:rsidRPr="00C10A99">
        <w:t>The formula in the Act requires the levy rate calculation to take into account the latest, most reliable and most appropriate sources of information from the Ministry on c</w:t>
      </w:r>
      <w:r>
        <w:t xml:space="preserve">lient </w:t>
      </w:r>
      <w:r w:rsidRPr="00C10A99">
        <w:t>presentations to problem gambling sources.</w:t>
      </w:r>
    </w:p>
    <w:p w:rsidR="0088150A" w:rsidRDefault="0088150A" w:rsidP="00826CCE"/>
    <w:p w:rsidR="00DD44FD" w:rsidRDefault="0088150A" w:rsidP="00826CCE">
      <w:r w:rsidRPr="00C10A99">
        <w:t>The Ministry generated the presentation figures used in the levy from data collected by its psychosocial intervention service providers. The figures relate to all clients who received a full</w:t>
      </w:r>
      <w:r w:rsidR="00441E69">
        <w:t>,</w:t>
      </w:r>
      <w:r w:rsidRPr="00C10A99">
        <w:t xml:space="preserve"> facilitation or follow-up intervention session</w:t>
      </w:r>
      <w:r>
        <w:t xml:space="preserve"> </w:t>
      </w:r>
      <w:r w:rsidR="001728B6">
        <w:t xml:space="preserve">during the 12 months </w:t>
      </w:r>
      <w:r>
        <w:t xml:space="preserve">from </w:t>
      </w:r>
      <w:r w:rsidR="00937C68">
        <w:t xml:space="preserve">1 </w:t>
      </w:r>
      <w:r>
        <w:t>July 20</w:t>
      </w:r>
      <w:r w:rsidR="001728B6">
        <w:t>17</w:t>
      </w:r>
      <w:r>
        <w:t xml:space="preserve"> to 30 June 2018</w:t>
      </w:r>
      <w:r w:rsidRPr="00C10A99">
        <w:t xml:space="preserve">. </w:t>
      </w:r>
    </w:p>
    <w:p w:rsidR="00DD44FD" w:rsidRDefault="00DD44FD" w:rsidP="00826CCE"/>
    <w:p w:rsidR="003F611C" w:rsidRDefault="0088150A" w:rsidP="00826CCE">
      <w:r>
        <w:t>The figures exclude b</w:t>
      </w:r>
      <w:r w:rsidRPr="00C10A99">
        <w:t>rief screening interventions</w:t>
      </w:r>
      <w:r w:rsidR="003F611C">
        <w:t xml:space="preserve"> </w:t>
      </w:r>
      <w:r w:rsidRPr="00C10A99">
        <w:t>and primary problem gambling modes in gambling sectors that are not subject to the levy</w:t>
      </w:r>
      <w:r w:rsidR="003F611C">
        <w:t xml:space="preserve"> (although these are recorded).</w:t>
      </w:r>
      <w:r w:rsidR="00DD44FD">
        <w:t xml:space="preserve">  </w:t>
      </w:r>
      <w:r w:rsidR="003F611C">
        <w:t xml:space="preserve">Brief interventions essentially means brief screenings carried out in non-clinical settings. They are excluded mainly because they are considered unrepresentative of a sector. This is because a sector’s share of brief interventions will vary depending on the settings in which service providers decide to undertake them. </w:t>
      </w:r>
    </w:p>
    <w:p w:rsidR="007D781C" w:rsidRDefault="007D781C" w:rsidP="00826CCE"/>
    <w:p w:rsidR="007D781C" w:rsidRDefault="007D781C" w:rsidP="00826CCE">
      <w:r>
        <w:t xml:space="preserve">Table </w:t>
      </w:r>
      <w:r w:rsidR="00322E9B">
        <w:t xml:space="preserve">23 </w:t>
      </w:r>
      <w:r>
        <w:t xml:space="preserve">shows </w:t>
      </w:r>
      <w:r w:rsidR="00EE4534">
        <w:t>each gambling s</w:t>
      </w:r>
      <w:r>
        <w:t>ector</w:t>
      </w:r>
      <w:r w:rsidR="00EE4534">
        <w:t>’s</w:t>
      </w:r>
      <w:r>
        <w:t xml:space="preserve"> sh</w:t>
      </w:r>
      <w:r w:rsidR="00EE4534">
        <w:t>a</w:t>
      </w:r>
      <w:r>
        <w:t xml:space="preserve">re of </w:t>
      </w:r>
      <w:r w:rsidR="00EE4534">
        <w:t>player e</w:t>
      </w:r>
      <w:r>
        <w:t>xpenditure and presentations</w:t>
      </w:r>
      <w:r w:rsidR="00EE4534">
        <w:t>.</w:t>
      </w:r>
    </w:p>
    <w:p w:rsidR="0088150A" w:rsidRPr="00D528A0" w:rsidRDefault="0088150A" w:rsidP="00FE7705">
      <w:pPr>
        <w:pStyle w:val="Heading3"/>
        <w:numPr>
          <w:ilvl w:val="0"/>
          <w:numId w:val="0"/>
        </w:numPr>
      </w:pPr>
      <w:bookmarkStart w:id="285" w:name="_Toc65389478"/>
      <w:r w:rsidRPr="00D528A0">
        <w:t>The funding requirement (C)</w:t>
      </w:r>
    </w:p>
    <w:p w:rsidR="00A10EC0" w:rsidRDefault="0088150A" w:rsidP="00FE7705">
      <w:r w:rsidRPr="00C10A99">
        <w:t xml:space="preserve">The funding requirement represented by </w:t>
      </w:r>
      <w:r w:rsidRPr="00C10A99">
        <w:rPr>
          <w:b/>
        </w:rPr>
        <w:t>C</w:t>
      </w:r>
      <w:r w:rsidRPr="00C10A99">
        <w:t xml:space="preserve"> in the formula is the </w:t>
      </w:r>
      <w:r w:rsidR="00DD44FD">
        <w:t xml:space="preserve">total cost of the </w:t>
      </w:r>
      <w:r w:rsidR="000C68A8">
        <w:t>s</w:t>
      </w:r>
      <w:r w:rsidR="00DD44FD" w:rsidRPr="00C10A99">
        <w:t>trategy</w:t>
      </w:r>
      <w:r w:rsidR="00DD44FD">
        <w:t xml:space="preserve"> for </w:t>
      </w:r>
      <w:r w:rsidR="00DD44FD" w:rsidRPr="00C10A99">
        <w:t>201</w:t>
      </w:r>
      <w:r w:rsidR="00DD44FD">
        <w:t xml:space="preserve">9/20–2021/22, which the </w:t>
      </w:r>
      <w:r w:rsidRPr="00C10A99">
        <w:t xml:space="preserve">Ministry </w:t>
      </w:r>
      <w:r w:rsidR="00DD44FD">
        <w:t>estimates as $60</w:t>
      </w:r>
      <w:r w:rsidRPr="00C10A99">
        <w:t>.339 million</w:t>
      </w:r>
      <w:r>
        <w:t>.</w:t>
      </w:r>
    </w:p>
    <w:p w:rsidR="0088150A" w:rsidRDefault="0088150A" w:rsidP="00FE7705"/>
    <w:p w:rsidR="00DD44FD" w:rsidRDefault="005F7361" w:rsidP="00FE7705">
      <w:r>
        <w:t xml:space="preserve">The service plan in Section 3 </w:t>
      </w:r>
      <w:r w:rsidR="0088150A">
        <w:t xml:space="preserve">sets out details about </w:t>
      </w:r>
      <w:r w:rsidR="00DD44FD">
        <w:t xml:space="preserve">the $60.339 million </w:t>
      </w:r>
      <w:r w:rsidR="003021B1">
        <w:t xml:space="preserve">cost </w:t>
      </w:r>
      <w:r w:rsidR="00F73506">
        <w:t>to provide and implement the strategy</w:t>
      </w:r>
      <w:r w:rsidR="003021B1">
        <w:t>.</w:t>
      </w:r>
      <w:r w:rsidR="00DD44FD">
        <w:t xml:space="preserve"> The funding required may be comprised entirely of a new appropriation or a new appropriation and an expense transfer of any underspend from a previous le</w:t>
      </w:r>
      <w:r w:rsidR="00F73506">
        <w:t>v</w:t>
      </w:r>
      <w:r w:rsidR="00DD44FD">
        <w:t>y period.</w:t>
      </w:r>
    </w:p>
    <w:p w:rsidR="0088150A" w:rsidRPr="00C10A99" w:rsidRDefault="0088150A" w:rsidP="00FE7705">
      <w:pPr>
        <w:pStyle w:val="Heading3"/>
        <w:numPr>
          <w:ilvl w:val="0"/>
          <w:numId w:val="0"/>
        </w:numPr>
      </w:pPr>
      <w:r w:rsidRPr="00C10A99">
        <w:t>Forecast player expenditure (D)</w:t>
      </w:r>
    </w:p>
    <w:p w:rsidR="0088150A" w:rsidRPr="00C10A99" w:rsidRDefault="0088150A" w:rsidP="00F770B3">
      <w:pPr>
        <w:keepLines/>
      </w:pPr>
      <w:r w:rsidRPr="00C10A99">
        <w:t xml:space="preserve">The amounts represented by </w:t>
      </w:r>
      <w:r w:rsidRPr="00C10A99">
        <w:rPr>
          <w:b/>
        </w:rPr>
        <w:t>D</w:t>
      </w:r>
      <w:r w:rsidRPr="00C10A99">
        <w:t xml:space="preserve"> in the formula are sector-by-sector forecasts of the amounts that</w:t>
      </w:r>
      <w:r>
        <w:t xml:space="preserve"> </w:t>
      </w:r>
      <w:r w:rsidRPr="00C10A99">
        <w:t>DIA expects gamblers to spend on the gambling products of the four levy-paying gambling sectors in the period 201</w:t>
      </w:r>
      <w:r>
        <w:t>9/20–</w:t>
      </w:r>
      <w:r w:rsidRPr="00C10A99">
        <w:t>20</w:t>
      </w:r>
      <w:r>
        <w:t>2</w:t>
      </w:r>
      <w:r w:rsidRPr="00C10A99">
        <w:t>1</w:t>
      </w:r>
      <w:r>
        <w:t>/22</w:t>
      </w:r>
      <w:r w:rsidRPr="00C10A99">
        <w:t>. The higher</w:t>
      </w:r>
      <w:r w:rsidR="00117054">
        <w:t xml:space="preserve"> the</w:t>
      </w:r>
      <w:r w:rsidRPr="00C10A99">
        <w:t xml:space="preserve"> forecast expenditure is, the lower the levy rate necessary for a sector to pay its required contribution (as determined by the top line of the formula).</w:t>
      </w:r>
    </w:p>
    <w:p w:rsidR="0088150A" w:rsidRDefault="0088150A" w:rsidP="00FE7705"/>
    <w:p w:rsidR="0088150A" w:rsidRPr="00C10A99" w:rsidRDefault="00D46E9E">
      <w:r>
        <w:t xml:space="preserve">As noted above, these forecasts by DIA took into </w:t>
      </w:r>
      <w:r w:rsidRPr="00C10A99">
        <w:t xml:space="preserve">account the latest, most reliable and most appropriate sources of information </w:t>
      </w:r>
      <w:r>
        <w:t xml:space="preserve">on player expenditure, </w:t>
      </w:r>
      <w:r w:rsidRPr="00C10A99">
        <w:rPr>
          <w:lang w:eastAsia="en-US"/>
        </w:rPr>
        <w:t>including its NCGM electronic monitoring system</w:t>
      </w:r>
      <w:r>
        <w:rPr>
          <w:lang w:eastAsia="en-US"/>
        </w:rPr>
        <w:t xml:space="preserve"> (EMS)</w:t>
      </w:r>
      <w:r w:rsidRPr="00C10A99">
        <w:rPr>
          <w:lang w:eastAsia="en-US"/>
        </w:rPr>
        <w:t>, gambling operators</w:t>
      </w:r>
      <w:r>
        <w:rPr>
          <w:lang w:eastAsia="en-US"/>
        </w:rPr>
        <w:t>’</w:t>
      </w:r>
      <w:r w:rsidRPr="00C10A99">
        <w:rPr>
          <w:lang w:eastAsia="en-US"/>
        </w:rPr>
        <w:t xml:space="preserve"> annual and half-yearly </w:t>
      </w:r>
      <w:r w:rsidRPr="00C10A99">
        <w:rPr>
          <w:lang w:eastAsia="en-US"/>
        </w:rPr>
        <w:lastRenderedPageBreak/>
        <w:t>reports and information from</w:t>
      </w:r>
      <w:r>
        <w:rPr>
          <w:lang w:eastAsia="en-US"/>
        </w:rPr>
        <w:t xml:space="preserve"> </w:t>
      </w:r>
      <w:r w:rsidRPr="00C10A99">
        <w:rPr>
          <w:lang w:eastAsia="en-US"/>
        </w:rPr>
        <w:t>IRD</w:t>
      </w:r>
      <w:r>
        <w:rPr>
          <w:lang w:eastAsia="en-US"/>
        </w:rPr>
        <w:t xml:space="preserve">. </w:t>
      </w:r>
      <w:r w:rsidR="0088150A" w:rsidRPr="00C10A99">
        <w:t>The reasoning behind the</w:t>
      </w:r>
      <w:r w:rsidR="0088150A">
        <w:t xml:space="preserve"> DIA</w:t>
      </w:r>
      <w:r w:rsidR="0088150A" w:rsidRPr="00C10A99">
        <w:t xml:space="preserve"> forecast for each sector is set out below</w:t>
      </w:r>
      <w:r w:rsidR="0088150A">
        <w:t>.</w:t>
      </w:r>
    </w:p>
    <w:p w:rsidR="0088150A" w:rsidRPr="00976DA2" w:rsidRDefault="0088150A" w:rsidP="00E93A4A">
      <w:pPr>
        <w:spacing w:before="120"/>
      </w:pPr>
      <w:r w:rsidRPr="00976DA2">
        <w:t xml:space="preserve">There may be changes in gambling expenditure as a result of future changes to the Act or regulations. </w:t>
      </w:r>
      <w:r>
        <w:t>I</w:t>
      </w:r>
      <w:r w:rsidRPr="00976DA2">
        <w:t xml:space="preserve">t is not possible to forecast the likely impact of any changes until the nature of any legislative or policy changes </w:t>
      </w:r>
      <w:r w:rsidR="009F500C">
        <w:t>is</w:t>
      </w:r>
      <w:r w:rsidR="009F500C" w:rsidRPr="00976DA2">
        <w:t xml:space="preserve"> </w:t>
      </w:r>
      <w:r w:rsidRPr="00976DA2">
        <w:t>clearer.</w:t>
      </w:r>
    </w:p>
    <w:p w:rsidR="0088150A" w:rsidRPr="00976DA2" w:rsidRDefault="0088150A" w:rsidP="00FE7705">
      <w:pPr>
        <w:pStyle w:val="Heading3"/>
        <w:numPr>
          <w:ilvl w:val="0"/>
          <w:numId w:val="0"/>
        </w:numPr>
        <w:rPr>
          <w:rFonts w:eastAsiaTheme="majorEastAsia"/>
        </w:rPr>
      </w:pPr>
      <w:r w:rsidRPr="00976DA2">
        <w:rPr>
          <w:rFonts w:eastAsiaTheme="majorEastAsia"/>
        </w:rPr>
        <w:t>Non-casino gaming machines</w:t>
      </w:r>
    </w:p>
    <w:p w:rsidR="0088150A" w:rsidRPr="00976DA2" w:rsidRDefault="0088150A" w:rsidP="00FE7705">
      <w:r w:rsidRPr="00976DA2">
        <w:t>The number of NCGM</w:t>
      </w:r>
      <w:r>
        <w:t xml:space="preserve">s has declined from </w:t>
      </w:r>
      <w:r w:rsidRPr="00976DA2">
        <w:t>2</w:t>
      </w:r>
      <w:r>
        <w:t xml:space="preserve">5,221 in 2003 to </w:t>
      </w:r>
      <w:r w:rsidRPr="00976DA2">
        <w:t>15,</w:t>
      </w:r>
      <w:r>
        <w:t>420</w:t>
      </w:r>
      <w:r w:rsidRPr="00976DA2">
        <w:t xml:space="preserve"> </w:t>
      </w:r>
      <w:r>
        <w:t>a</w:t>
      </w:r>
      <w:r w:rsidRPr="00976DA2">
        <w:t xml:space="preserve">s of </w:t>
      </w:r>
      <w:r>
        <w:t>30 June 2018 (there are 1</w:t>
      </w:r>
      <w:r w:rsidR="00E624A4">
        <w:t>,</w:t>
      </w:r>
      <w:r>
        <w:t>140 active venues).</w:t>
      </w:r>
      <w:r w:rsidR="00D46E9E" w:rsidRPr="00FE7705">
        <w:rPr>
          <w:rStyle w:val="FootnoteReference"/>
        </w:rPr>
        <w:footnoteReference w:id="18"/>
      </w:r>
      <w:r w:rsidR="005C7F55">
        <w:t xml:space="preserve"> </w:t>
      </w:r>
      <w:r w:rsidR="00D46E9E">
        <w:t>NCGM e</w:t>
      </w:r>
      <w:r w:rsidRPr="00976DA2">
        <w:t>xpenditure also declined for a number of years</w:t>
      </w:r>
      <w:r>
        <w:t>,</w:t>
      </w:r>
      <w:r w:rsidRPr="00976DA2">
        <w:t xml:space="preserve"> but has seen </w:t>
      </w:r>
      <w:r>
        <w:t xml:space="preserve">yearly </w:t>
      </w:r>
      <w:r w:rsidRPr="00976DA2">
        <w:t xml:space="preserve">increases since 2013/14. For example, from a historical low of $806 million in </w:t>
      </w:r>
      <w:r>
        <w:t>2013/14</w:t>
      </w:r>
      <w:r w:rsidRPr="00976DA2">
        <w:t>, expenditure increased to $818</w:t>
      </w:r>
      <w:r>
        <w:t> </w:t>
      </w:r>
      <w:r w:rsidRPr="00976DA2">
        <w:t>million in 2014/15, $843 million in 2015/16</w:t>
      </w:r>
      <w:r>
        <w:t>,</w:t>
      </w:r>
      <w:r w:rsidRPr="00976DA2">
        <w:t xml:space="preserve"> $870 million in 2016/17</w:t>
      </w:r>
      <w:r>
        <w:t xml:space="preserve"> and $895 million in 2017/18</w:t>
      </w:r>
      <w:r w:rsidRPr="00976DA2">
        <w:t>.</w:t>
      </w:r>
      <w:r w:rsidRPr="00FE7705">
        <w:rPr>
          <w:rStyle w:val="FootnoteReference"/>
        </w:rPr>
        <w:footnoteReference w:id="19"/>
      </w:r>
    </w:p>
    <w:p w:rsidR="0088150A" w:rsidRDefault="0088150A" w:rsidP="00FE7705"/>
    <w:p w:rsidR="0088150A" w:rsidRPr="00976DA2" w:rsidRDefault="0088150A" w:rsidP="00FE7705">
      <w:r w:rsidRPr="00976DA2">
        <w:t>DIA forecasts expenditure to continue with small annual increases in the next three years.</w:t>
      </w:r>
      <w:r w:rsidR="00D46E9E">
        <w:t xml:space="preserve"> </w:t>
      </w:r>
      <w:r w:rsidRPr="00976DA2">
        <w:t>Some variation in expenditure from year to year is expected, but the size of that variation cannot be forecast in advance.</w:t>
      </w:r>
    </w:p>
    <w:p w:rsidR="0088150A" w:rsidRDefault="0088150A" w:rsidP="00FE7705"/>
    <w:p w:rsidR="0088150A" w:rsidRDefault="0088150A" w:rsidP="0088150A">
      <w:r>
        <w:t>In th</w:t>
      </w:r>
      <w:r w:rsidRPr="00FE7705">
        <w:t>e</w:t>
      </w:r>
      <w:r>
        <w:t xml:space="preserve"> </w:t>
      </w:r>
      <w:r w:rsidRPr="00976DA2">
        <w:t>NCGM</w:t>
      </w:r>
      <w:r>
        <w:t xml:space="preserve"> sector</w:t>
      </w:r>
      <w:r w:rsidRPr="00976DA2">
        <w:t>, club expenditure continues to decrease</w:t>
      </w:r>
      <w:r>
        <w:t>,</w:t>
      </w:r>
      <w:r w:rsidRPr="00976DA2">
        <w:t xml:space="preserve"> while non-club expenditure has increased. Non-club expenditure has historically been around</w:t>
      </w:r>
      <w:r w:rsidR="00F770B3">
        <w:t xml:space="preserve"> </w:t>
      </w:r>
      <w:r w:rsidRPr="00976DA2">
        <w:t>86</w:t>
      </w:r>
      <w:r>
        <w:t>–</w:t>
      </w:r>
      <w:r w:rsidRPr="00976DA2">
        <w:t>87 percent of total NCGM expenditure every quarter since 30 June 2007, which was the first full quarter after the EMS began operating. Club expenditure has varied from around 13 percent to around 14 percent of the total. However, since 2016/17</w:t>
      </w:r>
      <w:r>
        <w:t>,</w:t>
      </w:r>
      <w:r w:rsidRPr="00976DA2">
        <w:t xml:space="preserve"> non-club expenditure has increased to around 89 percent of total expenditure</w:t>
      </w:r>
      <w:r>
        <w:t>;</w:t>
      </w:r>
      <w:r w:rsidRPr="00976DA2">
        <w:t xml:space="preserve"> club expenditure </w:t>
      </w:r>
      <w:r>
        <w:t xml:space="preserve">sits </w:t>
      </w:r>
      <w:r w:rsidRPr="00976DA2">
        <w:t>at around 11 percent of the total.</w:t>
      </w:r>
    </w:p>
    <w:p w:rsidR="0088150A" w:rsidRPr="00976DA2" w:rsidRDefault="0088150A" w:rsidP="00FE7705">
      <w:pPr>
        <w:pStyle w:val="Heading3"/>
        <w:numPr>
          <w:ilvl w:val="0"/>
          <w:numId w:val="0"/>
        </w:numPr>
        <w:rPr>
          <w:rFonts w:eastAsiaTheme="majorEastAsia"/>
        </w:rPr>
      </w:pPr>
      <w:r w:rsidRPr="00976DA2">
        <w:rPr>
          <w:rFonts w:eastAsiaTheme="majorEastAsia"/>
        </w:rPr>
        <w:t>Casinos</w:t>
      </w:r>
    </w:p>
    <w:p w:rsidR="0088150A" w:rsidRPr="00976DA2" w:rsidRDefault="0088150A" w:rsidP="00F770B3">
      <w:pPr>
        <w:keepNext/>
        <w:keepLines/>
      </w:pPr>
      <w:r w:rsidRPr="00976DA2">
        <w:t>Over the last three years</w:t>
      </w:r>
      <w:r>
        <w:t>,</w:t>
      </w:r>
      <w:r w:rsidRPr="00976DA2">
        <w:t xml:space="preserve"> spending on casino gambling has fluctuated. Figures from </w:t>
      </w:r>
      <w:r>
        <w:t xml:space="preserve">the </w:t>
      </w:r>
      <w:r w:rsidRPr="00976DA2">
        <w:t xml:space="preserve">DIA show expenditure of $527 million in 2014/15, $586 million in 2015/16 and $572 million in 2016/17. Casino expenditure is impacted by variations in international tourist numbers, including </w:t>
      </w:r>
      <w:r w:rsidR="00A10EC0">
        <w:t>‘</w:t>
      </w:r>
      <w:r w:rsidRPr="00976DA2">
        <w:t>VIP</w:t>
      </w:r>
      <w:r w:rsidR="00A10EC0">
        <w:t>’</w:t>
      </w:r>
      <w:r w:rsidRPr="00976DA2">
        <w:t xml:space="preserve"> gamblers.</w:t>
      </w:r>
    </w:p>
    <w:p w:rsidR="0088150A" w:rsidRDefault="0088150A" w:rsidP="00FE7705"/>
    <w:p w:rsidR="0088150A" w:rsidRDefault="0088150A" w:rsidP="00FE7705">
      <w:r w:rsidRPr="00976DA2">
        <w:t>DIA anticipates some growth in expenditure for 2018/19</w:t>
      </w:r>
      <w:r>
        <w:t>–</w:t>
      </w:r>
      <w:r w:rsidRPr="00976DA2">
        <w:t xml:space="preserve">2020/21, but </w:t>
      </w:r>
      <w:r>
        <w:t xml:space="preserve">its </w:t>
      </w:r>
      <w:r w:rsidRPr="00976DA2">
        <w:t>forecast is relatively conservative.</w:t>
      </w:r>
    </w:p>
    <w:p w:rsidR="0088150A" w:rsidRPr="00976DA2" w:rsidRDefault="0088150A" w:rsidP="00FE7705">
      <w:pPr>
        <w:pStyle w:val="Heading3"/>
        <w:numPr>
          <w:ilvl w:val="0"/>
          <w:numId w:val="0"/>
        </w:numPr>
        <w:rPr>
          <w:rFonts w:eastAsiaTheme="majorEastAsia"/>
        </w:rPr>
      </w:pPr>
      <w:r w:rsidRPr="00976DA2">
        <w:rPr>
          <w:rFonts w:eastAsiaTheme="majorEastAsia"/>
        </w:rPr>
        <w:t>New Zealand Racing Board</w:t>
      </w:r>
    </w:p>
    <w:p w:rsidR="0088150A" w:rsidRDefault="0088150A" w:rsidP="00FE7705">
      <w:r w:rsidRPr="00976DA2">
        <w:t>Spending on NZRB products was relatively flat for some years. However, it increased from $283 million in 2011/12 to $342 million in 2015/16, with a slight decline to $338</w:t>
      </w:r>
      <w:r w:rsidR="00FE7705">
        <w:t> </w:t>
      </w:r>
      <w:r w:rsidRPr="00976DA2">
        <w:t>million in 2016/17.</w:t>
      </w:r>
    </w:p>
    <w:p w:rsidR="00322E9B" w:rsidRDefault="00322E9B" w:rsidP="00FE7705"/>
    <w:p w:rsidR="0088150A" w:rsidRDefault="0088150A" w:rsidP="00FE7705">
      <w:r w:rsidRPr="00976DA2">
        <w:t>DIA anticipates modest expenditure growth in the next three</w:t>
      </w:r>
      <w:r>
        <w:t>-</w:t>
      </w:r>
      <w:r w:rsidRPr="00976DA2">
        <w:t xml:space="preserve">year period. Potential increases in expenditure brought about by technical innovation and product </w:t>
      </w:r>
      <w:r w:rsidRPr="00976DA2">
        <w:lastRenderedPageBreak/>
        <w:t>development may be impacted by competition in the racing and sports betting market from offshore betting agencies.</w:t>
      </w:r>
    </w:p>
    <w:p w:rsidR="0088150A" w:rsidRPr="00976DA2" w:rsidRDefault="0088150A" w:rsidP="00FE7705">
      <w:pPr>
        <w:pStyle w:val="Heading3"/>
        <w:numPr>
          <w:ilvl w:val="0"/>
          <w:numId w:val="0"/>
        </w:numPr>
        <w:rPr>
          <w:rFonts w:eastAsiaTheme="majorEastAsia"/>
        </w:rPr>
      </w:pPr>
      <w:r w:rsidRPr="00976DA2">
        <w:rPr>
          <w:rFonts w:eastAsiaTheme="majorEastAsia"/>
        </w:rPr>
        <w:t>New Zealand Lotteries Commission</w:t>
      </w:r>
    </w:p>
    <w:p w:rsidR="00EB0A59" w:rsidRPr="00976DA2" w:rsidRDefault="0088150A" w:rsidP="00EB0A59">
      <w:r w:rsidRPr="00976DA2">
        <w:t>Spending growth on NZLC products has been relatively high</w:t>
      </w:r>
      <w:r>
        <w:t>,</w:t>
      </w:r>
      <w:r w:rsidRPr="00976DA2">
        <w:t xml:space="preserve"> but volatile, since 2005/06. This volatility appears to relate to the number of large jackpots in a year. Strong growth has continued over recent years</w:t>
      </w:r>
      <w:r w:rsidR="00F73506" w:rsidRPr="00976DA2">
        <w:t xml:space="preserve">; </w:t>
      </w:r>
      <w:r w:rsidR="00F73506">
        <w:t>DIA</w:t>
      </w:r>
      <w:r w:rsidRPr="00976DA2">
        <w:t xml:space="preserve"> </w:t>
      </w:r>
      <w:r w:rsidR="00D045C0">
        <w:t>notes player expendi</w:t>
      </w:r>
      <w:r w:rsidRPr="00976DA2">
        <w:t>ture of $420</w:t>
      </w:r>
      <w:r w:rsidR="00FE7705">
        <w:t> </w:t>
      </w:r>
      <w:r w:rsidRPr="00976DA2">
        <w:t>million in 2014/15, $437</w:t>
      </w:r>
      <w:r>
        <w:t> </w:t>
      </w:r>
      <w:r w:rsidRPr="00976DA2">
        <w:t>million in 2015/16</w:t>
      </w:r>
      <w:r w:rsidR="00F73506">
        <w:t xml:space="preserve">, </w:t>
      </w:r>
      <w:r w:rsidR="00F73506" w:rsidRPr="00976DA2">
        <w:t>$</w:t>
      </w:r>
      <w:r w:rsidRPr="00976DA2">
        <w:t>555 million in 2016/17</w:t>
      </w:r>
      <w:r w:rsidR="008C62A8">
        <w:t xml:space="preserve"> and $561 million for 2017/18.</w:t>
      </w:r>
      <w:r w:rsidR="00EB0A59">
        <w:t xml:space="preserve"> The marked </w:t>
      </w:r>
      <w:r w:rsidR="00EB0A59" w:rsidRPr="00976DA2">
        <w:t>increase in 2016/17 is due to changes to Lotto games</w:t>
      </w:r>
      <w:r w:rsidR="00EB0A59">
        <w:t>,</w:t>
      </w:r>
      <w:r w:rsidR="00EB0A59" w:rsidRPr="00976DA2">
        <w:t xml:space="preserve"> which delivered more winners and bigger Powerball prizes</w:t>
      </w:r>
      <w:r w:rsidR="00EB0A59">
        <w:t xml:space="preserve"> (DIA 2018)</w:t>
      </w:r>
      <w:r w:rsidR="00EB0A59" w:rsidRPr="00976DA2">
        <w:t xml:space="preserve">. </w:t>
      </w:r>
      <w:r w:rsidR="00531A8A">
        <w:t>NZLC</w:t>
      </w:r>
      <w:r w:rsidR="00531A8A" w:rsidRPr="00976DA2">
        <w:t xml:space="preserve"> </w:t>
      </w:r>
      <w:r w:rsidR="00EB0A59" w:rsidRPr="00976DA2">
        <w:t>is also working to diversify its portfolio by introducing new games to help mitigate fluctuations in spending on its lottery products.</w:t>
      </w:r>
    </w:p>
    <w:p w:rsidR="0088150A" w:rsidRDefault="0088150A" w:rsidP="00FE7705">
      <w:pPr>
        <w:rPr>
          <w:rFonts w:cs="Arial"/>
        </w:rPr>
      </w:pPr>
    </w:p>
    <w:p w:rsidR="0088150A" w:rsidRDefault="0088150A" w:rsidP="00FE7705">
      <w:r>
        <w:t xml:space="preserve">DIA </w:t>
      </w:r>
      <w:r w:rsidR="00193737">
        <w:t xml:space="preserve">expenditure </w:t>
      </w:r>
      <w:r w:rsidRPr="00976DA2">
        <w:t>forecast</w:t>
      </w:r>
      <w:r w:rsidR="00193737">
        <w:t xml:space="preserve">s by year and sector are shown in Table </w:t>
      </w:r>
      <w:r w:rsidR="00F73506">
        <w:t>21</w:t>
      </w:r>
      <w:r w:rsidR="00193737">
        <w:t xml:space="preserve">. DIA forecasts </w:t>
      </w:r>
      <w:r w:rsidR="00E624A4">
        <w:t xml:space="preserve">that </w:t>
      </w:r>
      <w:r w:rsidR="00193737">
        <w:t xml:space="preserve">NZLC </w:t>
      </w:r>
      <w:r w:rsidR="00E624A4">
        <w:t xml:space="preserve">will </w:t>
      </w:r>
      <w:r w:rsidR="00193737">
        <w:t xml:space="preserve">experience </w:t>
      </w:r>
      <w:r>
        <w:t xml:space="preserve">flatter expenditure growth for </w:t>
      </w:r>
      <w:r w:rsidRPr="00976DA2">
        <w:t>2018/19</w:t>
      </w:r>
      <w:r>
        <w:t>–</w:t>
      </w:r>
      <w:r w:rsidRPr="00976DA2">
        <w:t xml:space="preserve">2020/21 </w:t>
      </w:r>
      <w:r>
        <w:t>than</w:t>
      </w:r>
      <w:r w:rsidR="00193737">
        <w:t xml:space="preserve"> </w:t>
      </w:r>
      <w:r>
        <w:t>earlier forecast</w:t>
      </w:r>
      <w:r w:rsidR="00193737">
        <w:t xml:space="preserve"> in the consultation document, but </w:t>
      </w:r>
      <w:r w:rsidR="00E624A4">
        <w:t xml:space="preserve">that </w:t>
      </w:r>
      <w:r w:rsidR="00193737">
        <w:t xml:space="preserve">the other three sectors </w:t>
      </w:r>
      <w:r w:rsidR="00E624A4">
        <w:t xml:space="preserve">will </w:t>
      </w:r>
      <w:r w:rsidR="00193737">
        <w:t xml:space="preserve">experience </w:t>
      </w:r>
      <w:r>
        <w:t>stead</w:t>
      </w:r>
      <w:r w:rsidR="00E624A4">
        <w:t>ier</w:t>
      </w:r>
      <w:r>
        <w:t xml:space="preserve"> </w:t>
      </w:r>
      <w:r w:rsidRPr="00976DA2">
        <w:t xml:space="preserve">expenditure growth </w:t>
      </w:r>
      <w:r w:rsidR="00E624A4">
        <w:t xml:space="preserve">over </w:t>
      </w:r>
      <w:r>
        <w:t xml:space="preserve">the </w:t>
      </w:r>
      <w:r w:rsidR="00193737">
        <w:t xml:space="preserve">same </w:t>
      </w:r>
      <w:r>
        <w:t>period</w:t>
      </w:r>
      <w:r w:rsidR="00193737">
        <w:t>.</w:t>
      </w:r>
    </w:p>
    <w:p w:rsidR="0088150A" w:rsidRPr="00C10A99" w:rsidRDefault="0088150A" w:rsidP="00AC044E">
      <w:pPr>
        <w:pStyle w:val="Table"/>
        <w:rPr>
          <w:sz w:val="16"/>
        </w:rPr>
      </w:pPr>
      <w:bookmarkStart w:id="286" w:name="_Toc517091246"/>
      <w:bookmarkStart w:id="287" w:name="_Toc530487445"/>
      <w:bookmarkStart w:id="288" w:name="_Toc4156639"/>
      <w:bookmarkStart w:id="289" w:name="_Toc8398939"/>
      <w:r w:rsidRPr="00E312E8">
        <w:t>Table</w:t>
      </w:r>
      <w:r>
        <w:t xml:space="preserve"> </w:t>
      </w:r>
      <w:r w:rsidR="00762F08">
        <w:rPr>
          <w:noProof/>
        </w:rPr>
        <w:fldChar w:fldCharType="begin"/>
      </w:r>
      <w:r w:rsidR="00762F08">
        <w:rPr>
          <w:noProof/>
        </w:rPr>
        <w:instrText xml:space="preserve"> SEQ Table \* ARABIC </w:instrText>
      </w:r>
      <w:r w:rsidR="00762F08">
        <w:rPr>
          <w:noProof/>
        </w:rPr>
        <w:fldChar w:fldCharType="separate"/>
      </w:r>
      <w:r w:rsidR="0002049A">
        <w:rPr>
          <w:noProof/>
        </w:rPr>
        <w:t>21</w:t>
      </w:r>
      <w:r w:rsidR="00762F08">
        <w:rPr>
          <w:noProof/>
        </w:rPr>
        <w:fldChar w:fldCharType="end"/>
      </w:r>
      <w:r w:rsidRPr="00C10A99">
        <w:t>: Forecast expenditure by sector (GST</w:t>
      </w:r>
      <w:r>
        <w:t>-</w:t>
      </w:r>
      <w:r w:rsidRPr="00C10A99">
        <w:t>inclusive), 20</w:t>
      </w:r>
      <w:r>
        <w:t>19/20–</w:t>
      </w:r>
      <w:r w:rsidRPr="00C10A99">
        <w:t>20</w:t>
      </w:r>
      <w:r>
        <w:t>21</w:t>
      </w:r>
      <w:r w:rsidRPr="00C10A99">
        <w:t>/</w:t>
      </w:r>
      <w:r>
        <w:t>22</w:t>
      </w:r>
      <w:bookmarkEnd w:id="286"/>
      <w:bookmarkEnd w:id="287"/>
      <w:bookmarkEnd w:id="288"/>
      <w:bookmarkEnd w:id="289"/>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552"/>
        <w:gridCol w:w="1382"/>
        <w:gridCol w:w="1382"/>
        <w:gridCol w:w="1382"/>
        <w:gridCol w:w="1382"/>
      </w:tblGrid>
      <w:tr w:rsidR="0088150A" w:rsidRPr="00FE7705" w:rsidTr="0062363F">
        <w:trPr>
          <w:cantSplit/>
        </w:trPr>
        <w:tc>
          <w:tcPr>
            <w:tcW w:w="2552" w:type="dxa"/>
            <w:tcBorders>
              <w:top w:val="nil"/>
              <w:bottom w:val="nil"/>
            </w:tcBorders>
            <w:shd w:val="clear" w:color="auto" w:fill="D9D9D9" w:themeFill="background1" w:themeFillShade="D9"/>
          </w:tcPr>
          <w:p w:rsidR="0088150A" w:rsidRPr="00FE7705" w:rsidRDefault="0088150A" w:rsidP="00FE7705">
            <w:pPr>
              <w:pStyle w:val="TableText"/>
              <w:keepNext/>
              <w:rPr>
                <w:rFonts w:eastAsia="Arial Unicode MS"/>
                <w:b/>
              </w:rPr>
            </w:pPr>
            <w:r w:rsidRPr="00FE7705">
              <w:rPr>
                <w:rFonts w:eastAsia="Arial Unicode MS"/>
                <w:b/>
              </w:rPr>
              <w:t>Forecast expenditure</w:t>
            </w:r>
          </w:p>
        </w:tc>
        <w:tc>
          <w:tcPr>
            <w:tcW w:w="1382" w:type="dxa"/>
            <w:tcBorders>
              <w:top w:val="nil"/>
              <w:bottom w:val="nil"/>
            </w:tcBorders>
            <w:shd w:val="clear" w:color="auto" w:fill="D9D9D9" w:themeFill="background1" w:themeFillShade="D9"/>
          </w:tcPr>
          <w:p w:rsidR="0088150A" w:rsidRPr="00FE7705" w:rsidRDefault="0088150A" w:rsidP="00FE7705">
            <w:pPr>
              <w:pStyle w:val="TableText"/>
              <w:keepNext/>
              <w:jc w:val="center"/>
              <w:rPr>
                <w:b/>
              </w:rPr>
            </w:pPr>
            <w:r w:rsidRPr="00FE7705">
              <w:rPr>
                <w:b/>
              </w:rPr>
              <w:t>NCGMs</w:t>
            </w:r>
          </w:p>
        </w:tc>
        <w:tc>
          <w:tcPr>
            <w:tcW w:w="1382" w:type="dxa"/>
            <w:tcBorders>
              <w:top w:val="nil"/>
              <w:bottom w:val="nil"/>
            </w:tcBorders>
            <w:shd w:val="clear" w:color="auto" w:fill="D9D9D9" w:themeFill="background1" w:themeFillShade="D9"/>
            <w:tcMar>
              <w:top w:w="0" w:type="dxa"/>
              <w:left w:w="108" w:type="dxa"/>
              <w:bottom w:w="0" w:type="dxa"/>
              <w:right w:w="108" w:type="dxa"/>
            </w:tcMar>
          </w:tcPr>
          <w:p w:rsidR="0088150A" w:rsidRPr="00FE7705" w:rsidRDefault="0088150A" w:rsidP="00FE7705">
            <w:pPr>
              <w:pStyle w:val="TableText"/>
              <w:keepNext/>
              <w:jc w:val="center"/>
              <w:rPr>
                <w:rFonts w:eastAsia="Arial Unicode MS"/>
                <w:b/>
              </w:rPr>
            </w:pPr>
            <w:r w:rsidRPr="00FE7705">
              <w:rPr>
                <w:b/>
              </w:rPr>
              <w:t>Casinos</w:t>
            </w:r>
          </w:p>
        </w:tc>
        <w:tc>
          <w:tcPr>
            <w:tcW w:w="1382" w:type="dxa"/>
            <w:tcBorders>
              <w:top w:val="nil"/>
              <w:bottom w:val="nil"/>
            </w:tcBorders>
            <w:shd w:val="clear" w:color="auto" w:fill="D9D9D9" w:themeFill="background1" w:themeFillShade="D9"/>
            <w:tcMar>
              <w:top w:w="0" w:type="dxa"/>
              <w:left w:w="108" w:type="dxa"/>
              <w:bottom w:w="0" w:type="dxa"/>
              <w:right w:w="108" w:type="dxa"/>
            </w:tcMar>
          </w:tcPr>
          <w:p w:rsidR="0088150A" w:rsidRPr="00FE7705" w:rsidRDefault="0088150A" w:rsidP="00FE7705">
            <w:pPr>
              <w:pStyle w:val="TableText"/>
              <w:keepNext/>
              <w:jc w:val="center"/>
              <w:rPr>
                <w:rFonts w:eastAsia="Arial Unicode MS"/>
                <w:b/>
              </w:rPr>
            </w:pPr>
            <w:r w:rsidRPr="00FE7705">
              <w:rPr>
                <w:b/>
              </w:rPr>
              <w:t>NZRB</w:t>
            </w:r>
          </w:p>
        </w:tc>
        <w:tc>
          <w:tcPr>
            <w:tcW w:w="1382" w:type="dxa"/>
            <w:tcBorders>
              <w:top w:val="nil"/>
              <w:bottom w:val="nil"/>
            </w:tcBorders>
            <w:shd w:val="clear" w:color="auto" w:fill="D9D9D9" w:themeFill="background1" w:themeFillShade="D9"/>
            <w:tcMar>
              <w:top w:w="0" w:type="dxa"/>
              <w:left w:w="108" w:type="dxa"/>
              <w:bottom w:w="0" w:type="dxa"/>
              <w:right w:w="108" w:type="dxa"/>
            </w:tcMar>
          </w:tcPr>
          <w:p w:rsidR="0088150A" w:rsidRPr="00FE7705" w:rsidRDefault="0088150A" w:rsidP="00FE7705">
            <w:pPr>
              <w:pStyle w:val="TableText"/>
              <w:keepNext/>
              <w:jc w:val="center"/>
              <w:rPr>
                <w:rFonts w:eastAsia="Arial Unicode MS"/>
                <w:b/>
              </w:rPr>
            </w:pPr>
            <w:r w:rsidRPr="00FE7705">
              <w:rPr>
                <w:b/>
              </w:rPr>
              <w:t>NZLC</w:t>
            </w:r>
          </w:p>
        </w:tc>
      </w:tr>
      <w:tr w:rsidR="0088150A" w:rsidRPr="00C10A99" w:rsidTr="0062363F">
        <w:trPr>
          <w:cantSplit/>
        </w:trPr>
        <w:tc>
          <w:tcPr>
            <w:tcW w:w="2552" w:type="dxa"/>
            <w:tcBorders>
              <w:top w:val="nil"/>
            </w:tcBorders>
            <w:shd w:val="clear" w:color="auto" w:fill="auto"/>
            <w:noWrap/>
          </w:tcPr>
          <w:p w:rsidR="0088150A" w:rsidRPr="009C733C" w:rsidRDefault="0088150A" w:rsidP="00FE7705">
            <w:pPr>
              <w:pStyle w:val="TableText"/>
              <w:keepNext/>
            </w:pPr>
            <w:r w:rsidRPr="009C733C">
              <w:t>2019/20 ($m)</w:t>
            </w:r>
          </w:p>
        </w:tc>
        <w:tc>
          <w:tcPr>
            <w:tcW w:w="1382" w:type="dxa"/>
            <w:tcBorders>
              <w:top w:val="nil"/>
            </w:tcBorders>
            <w:shd w:val="clear" w:color="auto" w:fill="auto"/>
          </w:tcPr>
          <w:p w:rsidR="0088150A" w:rsidRPr="009C733C" w:rsidRDefault="0088150A" w:rsidP="00FE7705">
            <w:pPr>
              <w:pStyle w:val="TableText"/>
              <w:keepNext/>
              <w:tabs>
                <w:tab w:val="decimal" w:pos="652"/>
              </w:tabs>
              <w:rPr>
                <w:rFonts w:cs="Arial"/>
              </w:rPr>
            </w:pPr>
            <w:r w:rsidRPr="009C733C">
              <w:rPr>
                <w:rFonts w:cs="Arial"/>
                <w:bCs/>
              </w:rPr>
              <w:t>951.143</w:t>
            </w:r>
          </w:p>
        </w:tc>
        <w:tc>
          <w:tcPr>
            <w:tcW w:w="1382" w:type="dxa"/>
            <w:tcBorders>
              <w:top w:val="nil"/>
            </w:tcBorders>
            <w:shd w:val="clear" w:color="auto" w:fill="auto"/>
            <w:noWrap/>
            <w:tcMar>
              <w:top w:w="0" w:type="dxa"/>
              <w:left w:w="108" w:type="dxa"/>
              <w:bottom w:w="0" w:type="dxa"/>
              <w:right w:w="108" w:type="dxa"/>
            </w:tcMar>
          </w:tcPr>
          <w:p w:rsidR="0088150A" w:rsidRPr="009C733C" w:rsidRDefault="0088150A" w:rsidP="00FE7705">
            <w:pPr>
              <w:pStyle w:val="TableText"/>
              <w:keepNext/>
              <w:jc w:val="center"/>
              <w:rPr>
                <w:rFonts w:cs="Arial"/>
              </w:rPr>
            </w:pPr>
            <w:r w:rsidRPr="009C733C">
              <w:rPr>
                <w:rFonts w:cs="Arial"/>
                <w:bCs/>
              </w:rPr>
              <w:t>645.345</w:t>
            </w:r>
          </w:p>
        </w:tc>
        <w:tc>
          <w:tcPr>
            <w:tcW w:w="1382" w:type="dxa"/>
            <w:tcBorders>
              <w:top w:val="nil"/>
            </w:tcBorders>
            <w:shd w:val="clear" w:color="auto" w:fill="auto"/>
            <w:noWrap/>
            <w:tcMar>
              <w:top w:w="0" w:type="dxa"/>
              <w:left w:w="108" w:type="dxa"/>
              <w:bottom w:w="0" w:type="dxa"/>
              <w:right w:w="108" w:type="dxa"/>
            </w:tcMar>
          </w:tcPr>
          <w:p w:rsidR="0088150A" w:rsidRPr="009C733C" w:rsidRDefault="0088150A" w:rsidP="00FE7705">
            <w:pPr>
              <w:pStyle w:val="TableText"/>
              <w:keepNext/>
              <w:jc w:val="center"/>
              <w:rPr>
                <w:rFonts w:cs="Arial"/>
              </w:rPr>
            </w:pPr>
            <w:r w:rsidRPr="009C733C">
              <w:rPr>
                <w:rFonts w:cs="Arial"/>
                <w:bCs/>
              </w:rPr>
              <w:t>383.428</w:t>
            </w:r>
          </w:p>
        </w:tc>
        <w:tc>
          <w:tcPr>
            <w:tcW w:w="1382" w:type="dxa"/>
            <w:tcBorders>
              <w:top w:val="nil"/>
            </w:tcBorders>
            <w:shd w:val="clear" w:color="auto" w:fill="auto"/>
            <w:noWrap/>
            <w:tcMar>
              <w:top w:w="0" w:type="dxa"/>
              <w:left w:w="108" w:type="dxa"/>
              <w:bottom w:w="0" w:type="dxa"/>
              <w:right w:w="108" w:type="dxa"/>
            </w:tcMar>
          </w:tcPr>
          <w:p w:rsidR="0088150A" w:rsidRPr="006B33AB" w:rsidRDefault="0088150A" w:rsidP="00FE7705">
            <w:pPr>
              <w:pStyle w:val="TableText"/>
              <w:keepNext/>
              <w:jc w:val="center"/>
              <w:rPr>
                <w:rFonts w:cs="Arial"/>
              </w:rPr>
            </w:pPr>
            <w:r>
              <w:rPr>
                <w:rFonts w:cs="Arial"/>
                <w:bCs/>
              </w:rPr>
              <w:t>593.9</w:t>
            </w:r>
          </w:p>
        </w:tc>
      </w:tr>
      <w:tr w:rsidR="0088150A" w:rsidRPr="00C10A99" w:rsidTr="00FE7705">
        <w:trPr>
          <w:cantSplit/>
        </w:trPr>
        <w:tc>
          <w:tcPr>
            <w:tcW w:w="2552" w:type="dxa"/>
            <w:shd w:val="clear" w:color="auto" w:fill="auto"/>
            <w:noWrap/>
          </w:tcPr>
          <w:p w:rsidR="0088150A" w:rsidRPr="009C733C" w:rsidRDefault="0088150A" w:rsidP="00FE7705">
            <w:pPr>
              <w:pStyle w:val="TableText"/>
              <w:keepNext/>
            </w:pPr>
            <w:r w:rsidRPr="009C733C">
              <w:t>2020/21 ($m)</w:t>
            </w:r>
          </w:p>
        </w:tc>
        <w:tc>
          <w:tcPr>
            <w:tcW w:w="1382" w:type="dxa"/>
            <w:shd w:val="clear" w:color="auto" w:fill="auto"/>
          </w:tcPr>
          <w:p w:rsidR="0088150A" w:rsidRPr="009C733C" w:rsidRDefault="0088150A" w:rsidP="00FE7705">
            <w:pPr>
              <w:pStyle w:val="TableText"/>
              <w:keepNext/>
              <w:tabs>
                <w:tab w:val="decimal" w:pos="652"/>
              </w:tabs>
              <w:rPr>
                <w:rFonts w:cs="Arial"/>
              </w:rPr>
            </w:pPr>
            <w:r w:rsidRPr="009C733C">
              <w:rPr>
                <w:rFonts w:cs="Arial"/>
                <w:bCs/>
              </w:rPr>
              <w:t>981.184</w:t>
            </w:r>
          </w:p>
        </w:tc>
        <w:tc>
          <w:tcPr>
            <w:tcW w:w="1382" w:type="dxa"/>
            <w:shd w:val="clear" w:color="auto" w:fill="auto"/>
            <w:noWrap/>
            <w:tcMar>
              <w:top w:w="0" w:type="dxa"/>
              <w:left w:w="108" w:type="dxa"/>
              <w:bottom w:w="0" w:type="dxa"/>
              <w:right w:w="108" w:type="dxa"/>
            </w:tcMar>
          </w:tcPr>
          <w:p w:rsidR="0088150A" w:rsidRPr="009C733C" w:rsidRDefault="0088150A" w:rsidP="00FE7705">
            <w:pPr>
              <w:pStyle w:val="TableText"/>
              <w:keepNext/>
              <w:jc w:val="center"/>
              <w:rPr>
                <w:rFonts w:cs="Arial"/>
              </w:rPr>
            </w:pPr>
            <w:r w:rsidRPr="009C733C">
              <w:rPr>
                <w:rFonts w:cs="Arial"/>
                <w:bCs/>
              </w:rPr>
              <w:t>667.463</w:t>
            </w:r>
          </w:p>
        </w:tc>
        <w:tc>
          <w:tcPr>
            <w:tcW w:w="1382" w:type="dxa"/>
            <w:shd w:val="clear" w:color="auto" w:fill="auto"/>
            <w:noWrap/>
            <w:tcMar>
              <w:top w:w="0" w:type="dxa"/>
              <w:left w:w="108" w:type="dxa"/>
              <w:bottom w:w="0" w:type="dxa"/>
              <w:right w:w="108" w:type="dxa"/>
            </w:tcMar>
          </w:tcPr>
          <w:p w:rsidR="0088150A" w:rsidRPr="009C733C" w:rsidRDefault="0088150A" w:rsidP="00FE7705">
            <w:pPr>
              <w:pStyle w:val="TableText"/>
              <w:keepNext/>
              <w:jc w:val="center"/>
              <w:rPr>
                <w:rFonts w:cs="Arial"/>
              </w:rPr>
            </w:pPr>
            <w:r w:rsidRPr="009C733C">
              <w:rPr>
                <w:rFonts w:cs="Arial"/>
                <w:bCs/>
              </w:rPr>
              <w:t>395.794</w:t>
            </w:r>
          </w:p>
        </w:tc>
        <w:tc>
          <w:tcPr>
            <w:tcW w:w="1382" w:type="dxa"/>
            <w:shd w:val="clear" w:color="auto" w:fill="auto"/>
            <w:noWrap/>
            <w:tcMar>
              <w:top w:w="0" w:type="dxa"/>
              <w:left w:w="108" w:type="dxa"/>
              <w:bottom w:w="0" w:type="dxa"/>
              <w:right w:w="108" w:type="dxa"/>
            </w:tcMar>
          </w:tcPr>
          <w:p w:rsidR="0088150A" w:rsidRPr="006B33AB" w:rsidRDefault="0088150A" w:rsidP="00FE7705">
            <w:pPr>
              <w:pStyle w:val="TableText"/>
              <w:keepNext/>
              <w:jc w:val="center"/>
              <w:rPr>
                <w:rFonts w:cs="Arial"/>
              </w:rPr>
            </w:pPr>
            <w:r>
              <w:rPr>
                <w:rFonts w:cs="Arial"/>
                <w:bCs/>
              </w:rPr>
              <w:t>606.8</w:t>
            </w:r>
          </w:p>
        </w:tc>
      </w:tr>
      <w:tr w:rsidR="0088150A" w:rsidRPr="00C10A99" w:rsidTr="00FE7705">
        <w:trPr>
          <w:cantSplit/>
        </w:trPr>
        <w:tc>
          <w:tcPr>
            <w:tcW w:w="2552" w:type="dxa"/>
            <w:shd w:val="clear" w:color="auto" w:fill="auto"/>
            <w:noWrap/>
          </w:tcPr>
          <w:p w:rsidR="0088150A" w:rsidRPr="009C733C" w:rsidRDefault="0088150A" w:rsidP="00FE7705">
            <w:pPr>
              <w:pStyle w:val="TableText"/>
              <w:keepNext/>
            </w:pPr>
            <w:r w:rsidRPr="009C733C">
              <w:t>2021/22 ($m)</w:t>
            </w:r>
          </w:p>
        </w:tc>
        <w:tc>
          <w:tcPr>
            <w:tcW w:w="1382" w:type="dxa"/>
            <w:shd w:val="clear" w:color="auto" w:fill="auto"/>
          </w:tcPr>
          <w:p w:rsidR="0088150A" w:rsidRPr="009C733C" w:rsidRDefault="0088150A" w:rsidP="00FE7705">
            <w:pPr>
              <w:pStyle w:val="TableText"/>
              <w:keepNext/>
              <w:tabs>
                <w:tab w:val="decimal" w:pos="652"/>
              </w:tabs>
              <w:rPr>
                <w:rFonts w:cs="Arial"/>
                <w:bCs/>
              </w:rPr>
            </w:pPr>
            <w:r w:rsidRPr="009C733C">
              <w:rPr>
                <w:rFonts w:cs="Arial"/>
              </w:rPr>
              <w:t>1,012.173</w:t>
            </w:r>
          </w:p>
        </w:tc>
        <w:tc>
          <w:tcPr>
            <w:tcW w:w="1382" w:type="dxa"/>
            <w:shd w:val="clear" w:color="auto" w:fill="auto"/>
            <w:noWrap/>
            <w:tcMar>
              <w:top w:w="0" w:type="dxa"/>
              <w:left w:w="108" w:type="dxa"/>
              <w:bottom w:w="0" w:type="dxa"/>
              <w:right w:w="108" w:type="dxa"/>
            </w:tcMar>
          </w:tcPr>
          <w:p w:rsidR="0088150A" w:rsidRPr="009C733C" w:rsidRDefault="0088150A" w:rsidP="00FE7705">
            <w:pPr>
              <w:pStyle w:val="TableText"/>
              <w:keepNext/>
              <w:jc w:val="center"/>
              <w:rPr>
                <w:rFonts w:cs="Arial"/>
                <w:bCs/>
              </w:rPr>
            </w:pPr>
            <w:r w:rsidRPr="009C733C">
              <w:rPr>
                <w:rFonts w:cs="Arial"/>
              </w:rPr>
              <w:t>689.581</w:t>
            </w:r>
          </w:p>
        </w:tc>
        <w:tc>
          <w:tcPr>
            <w:tcW w:w="1382" w:type="dxa"/>
            <w:shd w:val="clear" w:color="auto" w:fill="auto"/>
            <w:noWrap/>
            <w:tcMar>
              <w:top w:w="0" w:type="dxa"/>
              <w:left w:w="108" w:type="dxa"/>
              <w:bottom w:w="0" w:type="dxa"/>
              <w:right w:w="108" w:type="dxa"/>
            </w:tcMar>
          </w:tcPr>
          <w:p w:rsidR="0088150A" w:rsidRPr="009C733C" w:rsidRDefault="0088150A" w:rsidP="00FE7705">
            <w:pPr>
              <w:pStyle w:val="TableText"/>
              <w:keepNext/>
              <w:jc w:val="center"/>
              <w:rPr>
                <w:rFonts w:cs="Arial"/>
                <w:bCs/>
              </w:rPr>
            </w:pPr>
            <w:r w:rsidRPr="009C733C">
              <w:rPr>
                <w:rFonts w:cs="Arial"/>
              </w:rPr>
              <w:t>408.161</w:t>
            </w:r>
          </w:p>
        </w:tc>
        <w:tc>
          <w:tcPr>
            <w:tcW w:w="1382" w:type="dxa"/>
            <w:shd w:val="clear" w:color="auto" w:fill="auto"/>
            <w:noWrap/>
            <w:tcMar>
              <w:top w:w="0" w:type="dxa"/>
              <w:left w:w="108" w:type="dxa"/>
              <w:bottom w:w="0" w:type="dxa"/>
              <w:right w:w="108" w:type="dxa"/>
            </w:tcMar>
          </w:tcPr>
          <w:p w:rsidR="0088150A" w:rsidRPr="006B33AB" w:rsidRDefault="0088150A" w:rsidP="00FE7705">
            <w:pPr>
              <w:pStyle w:val="TableText"/>
              <w:keepNext/>
              <w:jc w:val="center"/>
              <w:rPr>
                <w:rFonts w:cs="Arial"/>
                <w:bCs/>
              </w:rPr>
            </w:pPr>
            <w:r>
              <w:rPr>
                <w:rFonts w:cs="Arial"/>
              </w:rPr>
              <w:t>638.0</w:t>
            </w:r>
          </w:p>
        </w:tc>
      </w:tr>
    </w:tbl>
    <w:p w:rsidR="0088150A" w:rsidRPr="00C10A99" w:rsidRDefault="0088150A" w:rsidP="001651E3">
      <w:pPr>
        <w:pStyle w:val="Heading3"/>
        <w:numPr>
          <w:ilvl w:val="0"/>
          <w:numId w:val="0"/>
        </w:numPr>
      </w:pPr>
      <w:r w:rsidRPr="00C10A99">
        <w:t>Estimated levy under-recovery or over-recovery, by</w:t>
      </w:r>
      <w:r w:rsidR="00F770B3">
        <w:t> </w:t>
      </w:r>
      <w:r w:rsidRPr="00C10A99">
        <w:t>sector</w:t>
      </w:r>
      <w:r w:rsidR="00F770B3">
        <w:t> </w:t>
      </w:r>
      <w:r w:rsidRPr="00C10A99">
        <w:t>(R)</w:t>
      </w:r>
    </w:p>
    <w:p w:rsidR="0088150A" w:rsidRDefault="0088150A" w:rsidP="00F770B3">
      <w:r w:rsidRPr="00C10A99">
        <w:t>Section 107 of the Gambling Amendment Act 2015 came into effect on 3 March 2015</w:t>
      </w:r>
      <w:r w:rsidR="00117778">
        <w:t xml:space="preserve"> and </w:t>
      </w:r>
      <w:r w:rsidRPr="00C10A99">
        <w:t>requires the calculation of each sector</w:t>
      </w:r>
      <w:r w:rsidR="00A10EC0">
        <w:t>’</w:t>
      </w:r>
      <w:r w:rsidRPr="00C10A99">
        <w:t>s levy rate to take into account any under</w:t>
      </w:r>
      <w:r>
        <w:t xml:space="preserve">payment or overpayment </w:t>
      </w:r>
      <w:r w:rsidRPr="00C10A99">
        <w:t xml:space="preserve">from that sector in previous levy periods. </w:t>
      </w:r>
      <w:r w:rsidRPr="00252C71">
        <w:t>This change ended the previous system, deemed unfair, whereby all four gambling sectors were required to meet any net underpayment or overpayment of the levy amount across all sectors from the previous levy period.</w:t>
      </w:r>
    </w:p>
    <w:p w:rsidR="00F770B3" w:rsidRDefault="00F770B3" w:rsidP="00F770B3"/>
    <w:p w:rsidR="0088150A" w:rsidRDefault="00C66A46" w:rsidP="00F770B3">
      <w:r>
        <w:t>During the consultation process</w:t>
      </w:r>
      <w:r w:rsidR="00E624A4">
        <w:t>,</w:t>
      </w:r>
      <w:r>
        <w:t xml:space="preserve"> views were expressed about the most appropriate way to calculate R, which the Gambling Commission commented on in its 2019 report to responsible Ministers. The Commission said R should be calculated by hindsight adjustment of earlier estimates of both C and D to produce </w:t>
      </w:r>
      <w:r w:rsidRPr="00937C68">
        <w:t>(amend)</w:t>
      </w:r>
      <w:r>
        <w:t xml:space="preserve"> the previously expected relative contribution from each sector to a corrected calculation of the actual cost of the </w:t>
      </w:r>
      <w:r w:rsidR="000C68A8">
        <w:t>s</w:t>
      </w:r>
      <w:r>
        <w:t xml:space="preserve">trategy to the end of the previous levy period. The Commission considered this approach </w:t>
      </w:r>
      <w:r w:rsidR="00BE19C1">
        <w:t>i</w:t>
      </w:r>
      <w:r>
        <w:t>s consistent with the objective intent of the 2015 amendments to the Act and provide</w:t>
      </w:r>
      <w:r w:rsidR="002876D1">
        <w:t xml:space="preserve">s </w:t>
      </w:r>
      <w:r>
        <w:t>a fair</w:t>
      </w:r>
      <w:r w:rsidR="00D05007">
        <w:t>er</w:t>
      </w:r>
      <w:r>
        <w:t xml:space="preserve"> allocation of any over</w:t>
      </w:r>
      <w:r w:rsidR="00BE19C1">
        <w:t>-</w:t>
      </w:r>
      <w:r>
        <w:t xml:space="preserve"> or underpayment</w:t>
      </w:r>
      <w:r w:rsidR="00D05007">
        <w:t>,</w:t>
      </w:r>
      <w:r>
        <w:t xml:space="preserve"> as </w:t>
      </w:r>
      <w:r w:rsidR="002876D1">
        <w:t>adjustments</w:t>
      </w:r>
      <w:r>
        <w:t xml:space="preserve"> to each sector would be made in the </w:t>
      </w:r>
      <w:r w:rsidR="002876D1">
        <w:t>s</w:t>
      </w:r>
      <w:r>
        <w:t xml:space="preserve">ame proportions as </w:t>
      </w:r>
      <w:r w:rsidR="002876D1">
        <w:t>received</w:t>
      </w:r>
      <w:r w:rsidR="00BE19C1">
        <w:t xml:space="preserve"> (Gambling Commission 2019)</w:t>
      </w:r>
      <w:r w:rsidR="002876D1">
        <w:t>.</w:t>
      </w:r>
    </w:p>
    <w:p w:rsidR="005C7F55" w:rsidRDefault="005C7F55" w:rsidP="00F770B3">
      <w:bookmarkStart w:id="290" w:name="_Toc517091247"/>
      <w:bookmarkStart w:id="291" w:name="_Toc530487446"/>
    </w:p>
    <w:p w:rsidR="00B73EDC" w:rsidRDefault="002876D1" w:rsidP="00AC044E">
      <w:r>
        <w:t xml:space="preserve">Accordingly, </w:t>
      </w:r>
      <w:r w:rsidR="00CB65F0">
        <w:t>t</w:t>
      </w:r>
      <w:r>
        <w:t>he Ministry has calculated R by</w:t>
      </w:r>
      <w:r w:rsidR="00BE19C1">
        <w:t xml:space="preserve"> c</w:t>
      </w:r>
      <w:r w:rsidR="005F168C" w:rsidRPr="00D045C0">
        <w:t xml:space="preserve">alculating </w:t>
      </w:r>
      <w:r w:rsidR="00BE19C1">
        <w:t xml:space="preserve">its </w:t>
      </w:r>
      <w:r w:rsidR="006762EC" w:rsidRPr="00D045C0">
        <w:t xml:space="preserve">projected total spending for the period </w:t>
      </w:r>
      <w:r w:rsidR="00F770B3" w:rsidRPr="00D045C0">
        <w:t>2004 to 2019</w:t>
      </w:r>
      <w:r w:rsidR="005F168C" w:rsidRPr="00D045C0">
        <w:t xml:space="preserve"> by</w:t>
      </w:r>
      <w:r w:rsidR="00B73EDC">
        <w:t>:</w:t>
      </w:r>
    </w:p>
    <w:p w:rsidR="006762EC" w:rsidRPr="00D045C0" w:rsidRDefault="00DA006E" w:rsidP="00AC044E">
      <w:pPr>
        <w:pStyle w:val="ListBullet"/>
      </w:pPr>
      <w:r w:rsidRPr="00D045C0">
        <w:lastRenderedPageBreak/>
        <w:t xml:space="preserve">revising its </w:t>
      </w:r>
      <w:r w:rsidR="006762EC" w:rsidRPr="00D045C0">
        <w:t xml:space="preserve">2015 estimates </w:t>
      </w:r>
      <w:r w:rsidRPr="00D045C0">
        <w:t xml:space="preserve">of expenditure </w:t>
      </w:r>
      <w:r w:rsidR="006762EC" w:rsidRPr="00D045C0">
        <w:t>with</w:t>
      </w:r>
      <w:r w:rsidR="00B73EDC">
        <w:t xml:space="preserve"> </w:t>
      </w:r>
      <w:r w:rsidR="006762EC" w:rsidRPr="00D045C0">
        <w:t>the actual spending from its annual reports for 2015/16 (the last year of the previous period that used estimates)</w:t>
      </w:r>
      <w:r w:rsidR="005F168C" w:rsidRPr="00D045C0">
        <w:t xml:space="preserve">, </w:t>
      </w:r>
      <w:r w:rsidR="006762EC" w:rsidRPr="00D045C0">
        <w:t>2016/17</w:t>
      </w:r>
      <w:r w:rsidR="005F168C" w:rsidRPr="00D045C0">
        <w:t xml:space="preserve"> and 2017/18</w:t>
      </w:r>
    </w:p>
    <w:p w:rsidR="006762EC" w:rsidRPr="00D045C0" w:rsidRDefault="006762EC" w:rsidP="00AC044E">
      <w:pPr>
        <w:pStyle w:val="ListBullet"/>
      </w:pPr>
      <w:r w:rsidRPr="00D045C0">
        <w:t xml:space="preserve">using estimated expenditure for </w:t>
      </w:r>
      <w:r w:rsidR="00F770B3" w:rsidRPr="00D045C0">
        <w:t>2018/19</w:t>
      </w:r>
    </w:p>
    <w:p w:rsidR="006762EC" w:rsidRPr="00D045C0" w:rsidRDefault="006762EC" w:rsidP="00AC044E">
      <w:pPr>
        <w:pStyle w:val="ListBullet"/>
      </w:pPr>
      <w:r w:rsidRPr="00D045C0">
        <w:t xml:space="preserve">adding these sums to the actual spending recorded for </w:t>
      </w:r>
      <w:r w:rsidR="00B73EDC">
        <w:t xml:space="preserve">the </w:t>
      </w:r>
      <w:r w:rsidRPr="00D045C0">
        <w:t>levy period</w:t>
      </w:r>
      <w:r w:rsidR="00B73EDC">
        <w:t xml:space="preserve"> for each previous year</w:t>
      </w:r>
      <w:r w:rsidRPr="00D045C0">
        <w:t xml:space="preserve"> between 2004 </w:t>
      </w:r>
      <w:r w:rsidR="00B73EDC">
        <w:t>and</w:t>
      </w:r>
      <w:r w:rsidR="00B73EDC" w:rsidRPr="00D045C0">
        <w:t xml:space="preserve"> </w:t>
      </w:r>
      <w:r w:rsidRPr="00D045C0">
        <w:t>2015</w:t>
      </w:r>
      <w:r w:rsidR="00AB49E5" w:rsidRPr="00D045C0">
        <w:t>.</w:t>
      </w:r>
    </w:p>
    <w:p w:rsidR="00BE19C1" w:rsidRDefault="00BE19C1" w:rsidP="00A008A7"/>
    <w:p w:rsidR="006762EC" w:rsidRPr="00D045C0" w:rsidRDefault="006762EC" w:rsidP="00A008A7">
      <w:r w:rsidRPr="00D045C0">
        <w:t xml:space="preserve">This total </w:t>
      </w:r>
      <w:r w:rsidR="00C864D9" w:rsidRPr="00D045C0">
        <w:t xml:space="preserve">is $261.922 million, which becomes </w:t>
      </w:r>
      <w:r w:rsidRPr="00D045C0">
        <w:t xml:space="preserve">the target recovery amount from the four levy-paying gambling sectors. </w:t>
      </w:r>
    </w:p>
    <w:p w:rsidR="00BE19C1" w:rsidRDefault="00BE19C1" w:rsidP="00A008A7"/>
    <w:p w:rsidR="006762EC" w:rsidRPr="00CD14E4" w:rsidRDefault="006762EC" w:rsidP="00A008A7">
      <w:r w:rsidRPr="00D045C0">
        <w:t>The Ministry estimate</w:t>
      </w:r>
      <w:r w:rsidR="009D70AB" w:rsidRPr="00D045C0">
        <w:t xml:space="preserve">s the </w:t>
      </w:r>
      <w:r w:rsidRPr="00D045C0">
        <w:t>levy payments received by IRD will total $273.880 million by 30 June 2019</w:t>
      </w:r>
      <w:r w:rsidR="005F168C" w:rsidRPr="00D045C0">
        <w:t>. This was</w:t>
      </w:r>
      <w:r w:rsidR="00AD3F5C" w:rsidRPr="00E93A4A">
        <w:t xml:space="preserve"> </w:t>
      </w:r>
      <w:r w:rsidRPr="00D045C0">
        <w:t>calculated by totalling actual payments from each sector made to IRD up to 30 June 2018, together with the estimate</w:t>
      </w:r>
      <w:r w:rsidR="009D70AB" w:rsidRPr="00D045C0">
        <w:t xml:space="preserve">s of </w:t>
      </w:r>
      <w:r w:rsidRPr="00D045C0">
        <w:t>sector payments up to</w:t>
      </w:r>
      <w:r w:rsidR="009D70AB" w:rsidRPr="00D045C0">
        <w:t xml:space="preserve"> </w:t>
      </w:r>
      <w:r w:rsidR="00F770B3" w:rsidRPr="00D045C0">
        <w:t>30 June 2019.</w:t>
      </w:r>
      <w:r w:rsidR="005C7F55">
        <w:t xml:space="preserve"> </w:t>
      </w:r>
    </w:p>
    <w:p w:rsidR="00C864D9" w:rsidRPr="00CD14E4" w:rsidRDefault="00C864D9" w:rsidP="00F770B3"/>
    <w:p w:rsidR="006762EC" w:rsidRPr="00D045C0" w:rsidRDefault="006762EC" w:rsidP="00F770B3">
      <w:r w:rsidRPr="00CD14E4">
        <w:t>The Ministry then calculated the amount of levy</w:t>
      </w:r>
      <w:r w:rsidR="00B73EDC">
        <w:t xml:space="preserve"> that</w:t>
      </w:r>
      <w:r w:rsidRPr="00CD14E4">
        <w:t xml:space="preserve"> </w:t>
      </w:r>
      <w:r w:rsidRPr="00D045C0">
        <w:t>each sector was expected to pay by:</w:t>
      </w:r>
    </w:p>
    <w:p w:rsidR="006762EC" w:rsidRPr="00D045C0" w:rsidRDefault="00F770B3" w:rsidP="00F770B3">
      <w:pPr>
        <w:pStyle w:val="Bullet"/>
      </w:pPr>
      <w:r w:rsidRPr="00D045C0">
        <w:t>r</w:t>
      </w:r>
      <w:r w:rsidR="006762EC" w:rsidRPr="00D045C0">
        <w:t>eferring to the relevant Cabinet</w:t>
      </w:r>
      <w:r w:rsidR="00B73EDC">
        <w:t>-</w:t>
      </w:r>
      <w:r w:rsidR="006762EC" w:rsidRPr="00D045C0">
        <w:t>approved strategy before the start of each levy period</w:t>
      </w:r>
      <w:r w:rsidR="005C7F55">
        <w:t>,</w:t>
      </w:r>
      <w:r w:rsidR="006762EC" w:rsidRPr="00D045C0">
        <w:t xml:space="preserve"> to identify each sector’s expected share of the levy requirement for each three-year period</w:t>
      </w:r>
    </w:p>
    <w:p w:rsidR="006762EC" w:rsidRPr="00D045C0" w:rsidRDefault="00F770B3" w:rsidP="00F770B3">
      <w:pPr>
        <w:pStyle w:val="Bullet"/>
      </w:pPr>
      <w:r w:rsidRPr="00D045C0">
        <w:t>u</w:t>
      </w:r>
      <w:r w:rsidR="006762EC" w:rsidRPr="00D045C0">
        <w:t xml:space="preserve">sing those shares to calculate the amount each sector was expected to pay as </w:t>
      </w:r>
      <w:r w:rsidR="00B73EDC">
        <w:t>its</w:t>
      </w:r>
      <w:r w:rsidR="00B73EDC" w:rsidRPr="00D045C0">
        <w:t xml:space="preserve"> </w:t>
      </w:r>
      <w:r w:rsidR="006762EC" w:rsidRPr="00D045C0">
        <w:t>contribution to the Ministry’s spending in each levy period</w:t>
      </w:r>
      <w:r w:rsidR="005F168C" w:rsidRPr="00D045C0">
        <w:t>.</w:t>
      </w:r>
    </w:p>
    <w:p w:rsidR="005C7F55" w:rsidRDefault="00F770B3" w:rsidP="00F770B3">
      <w:pPr>
        <w:pStyle w:val="Bullet"/>
      </w:pPr>
      <w:r w:rsidRPr="00D045C0">
        <w:t>t</w:t>
      </w:r>
      <w:r w:rsidR="006762EC" w:rsidRPr="00D045C0">
        <w:t>otalling these amounts across all levy periods to arrive at the amount each sector was expected to pay up to 30 June 2019.</w:t>
      </w:r>
      <w:r w:rsidR="005C7F55" w:rsidRPr="005C7F55">
        <w:t xml:space="preserve"> </w:t>
      </w:r>
    </w:p>
    <w:p w:rsidR="00B73EDC" w:rsidRDefault="00B73EDC" w:rsidP="00BF6A40"/>
    <w:p w:rsidR="00EB0A59" w:rsidRDefault="005C7F55" w:rsidP="00BF6A40">
      <w:r>
        <w:t xml:space="preserve">R is the </w:t>
      </w:r>
      <w:r w:rsidR="00CD14E4">
        <w:t xml:space="preserve">difference </w:t>
      </w:r>
      <w:r>
        <w:t>between the expected levy payment</w:t>
      </w:r>
      <w:r w:rsidR="00CD14E4">
        <w:t>s</w:t>
      </w:r>
      <w:r>
        <w:t xml:space="preserve"> for each sector </w:t>
      </w:r>
      <w:r w:rsidR="00CD14E4">
        <w:t>and</w:t>
      </w:r>
      <w:r>
        <w:t xml:space="preserve"> the actual amount received in payments. </w:t>
      </w:r>
      <w:r w:rsidR="006762EC" w:rsidRPr="00D045C0">
        <w:t xml:space="preserve">Table 24 shows the values </w:t>
      </w:r>
      <w:r w:rsidR="00C864D9" w:rsidRPr="00D045C0">
        <w:t xml:space="preserve">of R </w:t>
      </w:r>
      <w:r w:rsidR="006762EC" w:rsidRPr="00D045C0">
        <w:t>obtained</w:t>
      </w:r>
      <w:r w:rsidR="00CD14E4">
        <w:t xml:space="preserve">. </w:t>
      </w:r>
      <w:r w:rsidR="00EB0A59">
        <w:t>O</w:t>
      </w:r>
      <w:r w:rsidR="00EB0A59" w:rsidRPr="00E312E8">
        <w:t>ver</w:t>
      </w:r>
      <w:r w:rsidR="00EB0A59">
        <w:t>payment amounts</w:t>
      </w:r>
      <w:r w:rsidR="00EB0A59" w:rsidRPr="00E312E8">
        <w:t xml:space="preserve"> are deducted</w:t>
      </w:r>
      <w:r w:rsidR="00EB0A59">
        <w:t xml:space="preserve"> from</w:t>
      </w:r>
      <w:r w:rsidR="00EB0A59" w:rsidRPr="00E312E8">
        <w:t xml:space="preserve"> </w:t>
      </w:r>
      <w:r w:rsidR="00EB0A59">
        <w:t>(credited to)</w:t>
      </w:r>
      <w:r w:rsidR="00EB0A59" w:rsidRPr="00E312E8">
        <w:t xml:space="preserve"> the </w:t>
      </w:r>
      <w:r w:rsidR="00EB0A59">
        <w:t xml:space="preserve">next levy period </w:t>
      </w:r>
      <w:r w:rsidR="00EB0A59" w:rsidRPr="00E312E8">
        <w:t>amounts required</w:t>
      </w:r>
      <w:r w:rsidR="00EB0A59">
        <w:t xml:space="preserve"> from each sector,</w:t>
      </w:r>
      <w:r w:rsidR="00EB0A59" w:rsidRPr="00E312E8">
        <w:t xml:space="preserve"> </w:t>
      </w:r>
      <w:r w:rsidR="00EB0A59">
        <w:t xml:space="preserve">while any </w:t>
      </w:r>
      <w:r w:rsidR="00EB0A59" w:rsidRPr="00E312E8">
        <w:t>under</w:t>
      </w:r>
      <w:r w:rsidR="00EB0A59">
        <w:t>payments</w:t>
      </w:r>
      <w:r w:rsidR="00EB0A59" w:rsidRPr="00E312E8">
        <w:t xml:space="preserve"> are added</w:t>
      </w:r>
      <w:r w:rsidR="00EB0A59">
        <w:t>.</w:t>
      </w:r>
    </w:p>
    <w:p w:rsidR="00EB0A59" w:rsidRDefault="00EB0A59" w:rsidP="00B73EDC"/>
    <w:p w:rsidR="00EB0A59" w:rsidRDefault="00EB0A59" w:rsidP="00B73EDC">
      <w:r>
        <w:t xml:space="preserve">For each sector, the previous forecasts to varying degrees underestimated the actual gambling expenditure subject to the levy (for 2016/17–2018/19). </w:t>
      </w:r>
      <w:r w:rsidR="00B73EDC">
        <w:t xml:space="preserve">As a </w:t>
      </w:r>
      <w:r>
        <w:t>result</w:t>
      </w:r>
      <w:r w:rsidR="00B73EDC">
        <w:t>,</w:t>
      </w:r>
      <w:r>
        <w:t xml:space="preserve"> levy payments exceed</w:t>
      </w:r>
      <w:r w:rsidR="00B73EDC">
        <w:t>ed</w:t>
      </w:r>
      <w:r>
        <w:t xml:space="preserve"> the amount required. The amount of expected overpayment for each sector is shown in Table </w:t>
      </w:r>
      <w:r w:rsidR="00F73506">
        <w:t>22</w:t>
      </w:r>
      <w:r>
        <w:t xml:space="preserve">. This amount is deducted from each sector’s allocated share of the levy payments for 2019/20–2021/22. </w:t>
      </w:r>
    </w:p>
    <w:p w:rsidR="006762EC" w:rsidRDefault="006762EC" w:rsidP="00BF6A40">
      <w:pPr>
        <w:pStyle w:val="Table"/>
      </w:pPr>
      <w:bookmarkStart w:id="292" w:name="_Toc4156640"/>
      <w:bookmarkStart w:id="293" w:name="_Toc8398940"/>
      <w:r w:rsidRPr="00C10A99">
        <w:t xml:space="preserve">Table </w:t>
      </w:r>
      <w:r w:rsidR="00762F08">
        <w:rPr>
          <w:noProof/>
        </w:rPr>
        <w:fldChar w:fldCharType="begin"/>
      </w:r>
      <w:r w:rsidR="00762F08">
        <w:rPr>
          <w:noProof/>
        </w:rPr>
        <w:instrText xml:space="preserve"> SEQ Table \* ARABIC </w:instrText>
      </w:r>
      <w:r w:rsidR="00762F08">
        <w:rPr>
          <w:noProof/>
        </w:rPr>
        <w:fldChar w:fldCharType="separate"/>
      </w:r>
      <w:r w:rsidR="0002049A">
        <w:rPr>
          <w:noProof/>
        </w:rPr>
        <w:t>22</w:t>
      </w:r>
      <w:r w:rsidR="00762F08">
        <w:rPr>
          <w:noProof/>
        </w:rPr>
        <w:fldChar w:fldCharType="end"/>
      </w:r>
      <w:r w:rsidRPr="00C10A99">
        <w:t>: Estimated under</w:t>
      </w:r>
      <w:r>
        <w:t xml:space="preserve">payment </w:t>
      </w:r>
      <w:r w:rsidRPr="00C10A99">
        <w:t>or over</w:t>
      </w:r>
      <w:r>
        <w:t xml:space="preserve">payment </w:t>
      </w:r>
      <w:r w:rsidRPr="00C10A99">
        <w:t>of problem gambling levy,</w:t>
      </w:r>
      <w:r w:rsidR="00F770B3">
        <w:br/>
      </w:r>
      <w:r w:rsidRPr="00C10A99">
        <w:t>2004/05</w:t>
      </w:r>
      <w:r>
        <w:t>–</w:t>
      </w:r>
      <w:r w:rsidRPr="00C10A99">
        <w:t>201</w:t>
      </w:r>
      <w:r>
        <w:t>8</w:t>
      </w:r>
      <w:r w:rsidRPr="00C10A99">
        <w:t>/1</w:t>
      </w:r>
      <w:r>
        <w:t>9</w:t>
      </w:r>
      <w:r w:rsidRPr="00C10A99">
        <w:t>, by sector</w:t>
      </w:r>
      <w:bookmarkEnd w:id="292"/>
      <w:bookmarkEnd w:id="293"/>
    </w:p>
    <w:tbl>
      <w:tblPr>
        <w:tblW w:w="2667"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377"/>
        <w:gridCol w:w="1932"/>
      </w:tblGrid>
      <w:tr w:rsidR="001D6AF8" w:rsidRPr="000A1BD5" w:rsidTr="00E93A4A">
        <w:trPr>
          <w:cantSplit/>
        </w:trPr>
        <w:tc>
          <w:tcPr>
            <w:tcW w:w="2758" w:type="pct"/>
            <w:tcBorders>
              <w:top w:val="nil"/>
              <w:bottom w:val="nil"/>
            </w:tcBorders>
            <w:shd w:val="clear" w:color="auto" w:fill="D9D9D9" w:themeFill="background1" w:themeFillShade="D9"/>
            <w:noWrap/>
          </w:tcPr>
          <w:p w:rsidR="001D6AF8" w:rsidRPr="000A1BD5" w:rsidRDefault="001D6AF8" w:rsidP="006762EC">
            <w:pPr>
              <w:pStyle w:val="TableText"/>
              <w:rPr>
                <w:b/>
                <w:lang w:eastAsia="en-US"/>
              </w:rPr>
            </w:pPr>
            <w:r w:rsidRPr="000A1BD5">
              <w:rPr>
                <w:b/>
                <w:lang w:eastAsia="en-US"/>
              </w:rPr>
              <w:t>Sector</w:t>
            </w:r>
          </w:p>
        </w:tc>
        <w:tc>
          <w:tcPr>
            <w:tcW w:w="2242" w:type="pct"/>
            <w:tcBorders>
              <w:top w:val="nil"/>
              <w:bottom w:val="nil"/>
            </w:tcBorders>
            <w:shd w:val="clear" w:color="auto" w:fill="D9D9D9" w:themeFill="background1" w:themeFillShade="D9"/>
          </w:tcPr>
          <w:p w:rsidR="001D6AF8" w:rsidRPr="000A1BD5" w:rsidRDefault="001D6AF8">
            <w:pPr>
              <w:pStyle w:val="TableText"/>
              <w:jc w:val="center"/>
              <w:rPr>
                <w:b/>
                <w:lang w:eastAsia="en-US"/>
              </w:rPr>
            </w:pPr>
            <w:r w:rsidRPr="000A1BD5">
              <w:rPr>
                <w:b/>
                <w:lang w:eastAsia="en-US"/>
              </w:rPr>
              <w:t>$m (GST</w:t>
            </w:r>
            <w:r>
              <w:rPr>
                <w:b/>
                <w:lang w:eastAsia="en-US"/>
              </w:rPr>
              <w:t xml:space="preserve"> ex</w:t>
            </w:r>
            <w:r w:rsidRPr="000A1BD5">
              <w:rPr>
                <w:b/>
                <w:lang w:eastAsia="en-US"/>
              </w:rPr>
              <w:t>clusive</w:t>
            </w:r>
            <w:r>
              <w:rPr>
                <w:b/>
                <w:lang w:eastAsia="en-US"/>
              </w:rPr>
              <w:t>)</w:t>
            </w:r>
          </w:p>
        </w:tc>
      </w:tr>
      <w:tr w:rsidR="001D6AF8" w:rsidRPr="00C10A99" w:rsidTr="00E93A4A">
        <w:trPr>
          <w:cantSplit/>
        </w:trPr>
        <w:tc>
          <w:tcPr>
            <w:tcW w:w="2758" w:type="pct"/>
            <w:tcBorders>
              <w:top w:val="nil"/>
            </w:tcBorders>
            <w:shd w:val="clear" w:color="auto" w:fill="auto"/>
            <w:noWrap/>
          </w:tcPr>
          <w:p w:rsidR="001D6AF8" w:rsidRPr="009C733C" w:rsidRDefault="001D6AF8" w:rsidP="006762EC">
            <w:pPr>
              <w:pStyle w:val="TableText"/>
              <w:rPr>
                <w:lang w:eastAsia="en-US"/>
              </w:rPr>
            </w:pPr>
            <w:r w:rsidRPr="009C733C">
              <w:rPr>
                <w:lang w:eastAsia="en-US"/>
              </w:rPr>
              <w:t>NCGMs</w:t>
            </w:r>
          </w:p>
        </w:tc>
        <w:tc>
          <w:tcPr>
            <w:tcW w:w="2242" w:type="pct"/>
            <w:tcBorders>
              <w:top w:val="nil"/>
            </w:tcBorders>
          </w:tcPr>
          <w:p w:rsidR="001D6AF8" w:rsidRPr="007269AE" w:rsidRDefault="00B73EDC" w:rsidP="006762EC">
            <w:pPr>
              <w:pStyle w:val="TableText"/>
              <w:jc w:val="center"/>
              <w:rPr>
                <w:rFonts w:eastAsia="Arial Unicode MS"/>
              </w:rPr>
            </w:pPr>
            <w:r>
              <w:rPr>
                <w:rFonts w:eastAsia="Arial Unicode MS"/>
              </w:rPr>
              <w:t>–</w:t>
            </w:r>
            <w:r w:rsidR="001D6AF8">
              <w:rPr>
                <w:rFonts w:eastAsia="Arial Unicode MS"/>
              </w:rPr>
              <w:t>6.213</w:t>
            </w:r>
          </w:p>
        </w:tc>
      </w:tr>
      <w:tr w:rsidR="001D6AF8" w:rsidRPr="00C10A99" w:rsidTr="00E93A4A">
        <w:trPr>
          <w:cantSplit/>
        </w:trPr>
        <w:tc>
          <w:tcPr>
            <w:tcW w:w="2758" w:type="pct"/>
            <w:shd w:val="clear" w:color="auto" w:fill="auto"/>
            <w:noWrap/>
          </w:tcPr>
          <w:p w:rsidR="001D6AF8" w:rsidRPr="009C733C" w:rsidRDefault="001D6AF8" w:rsidP="006762EC">
            <w:pPr>
              <w:pStyle w:val="TableText"/>
              <w:rPr>
                <w:lang w:eastAsia="en-US"/>
              </w:rPr>
            </w:pPr>
            <w:r w:rsidRPr="009C733C">
              <w:rPr>
                <w:lang w:eastAsia="en-US"/>
              </w:rPr>
              <w:t>Casinos</w:t>
            </w:r>
          </w:p>
        </w:tc>
        <w:tc>
          <w:tcPr>
            <w:tcW w:w="2242" w:type="pct"/>
          </w:tcPr>
          <w:p w:rsidR="001D6AF8" w:rsidRPr="007269AE" w:rsidRDefault="00B73EDC" w:rsidP="006762EC">
            <w:pPr>
              <w:pStyle w:val="TableText"/>
              <w:jc w:val="center"/>
              <w:rPr>
                <w:rFonts w:eastAsia="Arial Unicode MS"/>
              </w:rPr>
            </w:pPr>
            <w:r>
              <w:rPr>
                <w:rFonts w:eastAsia="Arial Unicode MS"/>
              </w:rPr>
              <w:t>–</w:t>
            </w:r>
            <w:r w:rsidR="001D6AF8">
              <w:rPr>
                <w:rFonts w:eastAsia="Arial Unicode MS"/>
              </w:rPr>
              <w:t>2.845</w:t>
            </w:r>
          </w:p>
        </w:tc>
      </w:tr>
      <w:tr w:rsidR="001D6AF8" w:rsidRPr="00C10A99" w:rsidTr="00E93A4A">
        <w:trPr>
          <w:cantSplit/>
        </w:trPr>
        <w:tc>
          <w:tcPr>
            <w:tcW w:w="2758" w:type="pct"/>
            <w:shd w:val="clear" w:color="auto" w:fill="auto"/>
            <w:noWrap/>
          </w:tcPr>
          <w:p w:rsidR="001D6AF8" w:rsidRPr="009C733C" w:rsidRDefault="001D6AF8" w:rsidP="006762EC">
            <w:pPr>
              <w:pStyle w:val="TableText"/>
              <w:rPr>
                <w:lang w:eastAsia="en-US"/>
              </w:rPr>
            </w:pPr>
            <w:r w:rsidRPr="009C733C">
              <w:rPr>
                <w:lang w:eastAsia="en-US"/>
              </w:rPr>
              <w:t>NZRB</w:t>
            </w:r>
          </w:p>
        </w:tc>
        <w:tc>
          <w:tcPr>
            <w:tcW w:w="2242" w:type="pct"/>
          </w:tcPr>
          <w:p w:rsidR="001D6AF8" w:rsidRPr="007269AE" w:rsidRDefault="00B73EDC" w:rsidP="006762EC">
            <w:pPr>
              <w:pStyle w:val="TableText"/>
              <w:jc w:val="center"/>
              <w:rPr>
                <w:rFonts w:eastAsia="Arial Unicode MS"/>
              </w:rPr>
            </w:pPr>
            <w:r>
              <w:rPr>
                <w:rFonts w:eastAsia="Arial Unicode MS"/>
              </w:rPr>
              <w:t>–</w:t>
            </w:r>
            <w:r w:rsidR="001D6AF8">
              <w:rPr>
                <w:rFonts w:eastAsia="Arial Unicode MS"/>
              </w:rPr>
              <w:t>0.940</w:t>
            </w:r>
          </w:p>
        </w:tc>
      </w:tr>
      <w:tr w:rsidR="001D6AF8" w:rsidRPr="00314574" w:rsidTr="00E93A4A">
        <w:trPr>
          <w:cantSplit/>
        </w:trPr>
        <w:tc>
          <w:tcPr>
            <w:tcW w:w="2758" w:type="pct"/>
            <w:shd w:val="clear" w:color="auto" w:fill="auto"/>
            <w:noWrap/>
          </w:tcPr>
          <w:p w:rsidR="001D6AF8" w:rsidRPr="00261A81" w:rsidRDefault="001D6AF8" w:rsidP="006762EC">
            <w:pPr>
              <w:pStyle w:val="TableText"/>
              <w:rPr>
                <w:lang w:eastAsia="en-US"/>
              </w:rPr>
            </w:pPr>
            <w:r w:rsidRPr="00261A81">
              <w:rPr>
                <w:lang w:eastAsia="en-US"/>
              </w:rPr>
              <w:t>NZLC</w:t>
            </w:r>
          </w:p>
        </w:tc>
        <w:tc>
          <w:tcPr>
            <w:tcW w:w="2242" w:type="pct"/>
          </w:tcPr>
          <w:p w:rsidR="001D6AF8" w:rsidRDefault="00B73EDC" w:rsidP="006762EC">
            <w:pPr>
              <w:pStyle w:val="TableText"/>
              <w:jc w:val="center"/>
              <w:rPr>
                <w:rFonts w:eastAsia="Arial Unicode MS"/>
              </w:rPr>
            </w:pPr>
            <w:r>
              <w:rPr>
                <w:rFonts w:eastAsia="Arial Unicode MS"/>
              </w:rPr>
              <w:t>–</w:t>
            </w:r>
            <w:r w:rsidR="001D6AF8">
              <w:rPr>
                <w:rFonts w:eastAsia="Arial Unicode MS"/>
              </w:rPr>
              <w:t>1.961</w:t>
            </w:r>
          </w:p>
        </w:tc>
      </w:tr>
      <w:tr w:rsidR="001D6AF8" w:rsidRPr="000A1BD5" w:rsidTr="00E93A4A">
        <w:trPr>
          <w:cantSplit/>
        </w:trPr>
        <w:tc>
          <w:tcPr>
            <w:tcW w:w="2758" w:type="pct"/>
            <w:shd w:val="clear" w:color="auto" w:fill="auto"/>
            <w:noWrap/>
          </w:tcPr>
          <w:p w:rsidR="001D6AF8" w:rsidRPr="000A1BD5" w:rsidRDefault="001D6AF8" w:rsidP="006762EC">
            <w:pPr>
              <w:pStyle w:val="TableText"/>
              <w:rPr>
                <w:b/>
                <w:lang w:eastAsia="en-US"/>
              </w:rPr>
            </w:pPr>
            <w:r w:rsidRPr="000A1BD5">
              <w:rPr>
                <w:b/>
                <w:lang w:eastAsia="en-US"/>
              </w:rPr>
              <w:t>Nett difference (total)</w:t>
            </w:r>
          </w:p>
        </w:tc>
        <w:tc>
          <w:tcPr>
            <w:tcW w:w="2242" w:type="pct"/>
          </w:tcPr>
          <w:p w:rsidR="001D6AF8" w:rsidRPr="000A1BD5" w:rsidRDefault="00B73EDC" w:rsidP="006762EC">
            <w:pPr>
              <w:pStyle w:val="TableText"/>
              <w:jc w:val="center"/>
              <w:rPr>
                <w:rFonts w:eastAsia="Arial Unicode MS"/>
                <w:b/>
              </w:rPr>
            </w:pPr>
            <w:r>
              <w:rPr>
                <w:rFonts w:eastAsia="Arial Unicode MS"/>
                <w:b/>
              </w:rPr>
              <w:t>–</w:t>
            </w:r>
            <w:r w:rsidR="001D6AF8">
              <w:rPr>
                <w:rFonts w:eastAsia="Arial Unicode MS"/>
                <w:b/>
              </w:rPr>
              <w:t>11.958</w:t>
            </w:r>
          </w:p>
        </w:tc>
      </w:tr>
    </w:tbl>
    <w:p w:rsidR="006762EC" w:rsidRDefault="006762EC" w:rsidP="006762EC">
      <w:pPr>
        <w:pStyle w:val="Note"/>
      </w:pPr>
      <w:r>
        <w:t xml:space="preserve">Note: </w:t>
      </w:r>
      <w:r w:rsidRPr="009C733C">
        <w:t xml:space="preserve">A negative figure indicates </w:t>
      </w:r>
      <w:r>
        <w:t>an expected overpayment for the levy period</w:t>
      </w:r>
      <w:r w:rsidR="00D43F9A">
        <w:t>s</w:t>
      </w:r>
      <w:r>
        <w:t xml:space="preserve"> to 30 June 2019.</w:t>
      </w:r>
    </w:p>
    <w:p w:rsidR="00C864D9" w:rsidRDefault="00C864D9" w:rsidP="006762EC"/>
    <w:p w:rsidR="00C864D9" w:rsidRDefault="00C864D9" w:rsidP="00CD14E4">
      <w:r>
        <w:t xml:space="preserve">Note that NCGM </w:t>
      </w:r>
      <w:r w:rsidR="00C36467">
        <w:t xml:space="preserve">sector </w:t>
      </w:r>
      <w:r>
        <w:t xml:space="preserve">and casino expenditure </w:t>
      </w:r>
      <w:r w:rsidR="00C36467">
        <w:t>are</w:t>
      </w:r>
      <w:r>
        <w:t xml:space="preserve"> tracking well ahead of forecasts made in 2015/16, expenditure on NZRB products is tracking at slightly above these </w:t>
      </w:r>
      <w:r>
        <w:lastRenderedPageBreak/>
        <w:t xml:space="preserve">forecasts, and expenditure on NZLC products remains </w:t>
      </w:r>
      <w:bookmarkEnd w:id="290"/>
      <w:bookmarkEnd w:id="291"/>
      <w:r w:rsidR="0088150A" w:rsidRPr="00C10A99">
        <w:t xml:space="preserve">volatile, depending on the number of large jackpots in any given financial year. </w:t>
      </w:r>
      <w:r>
        <w:t>Changes to lottery products and draws have also contributed to the uncertainty of forecasts.</w:t>
      </w:r>
    </w:p>
    <w:p w:rsidR="0088150A" w:rsidRPr="00D528A0" w:rsidRDefault="0088150A" w:rsidP="00FE7705">
      <w:pPr>
        <w:pStyle w:val="Heading3"/>
        <w:numPr>
          <w:ilvl w:val="0"/>
          <w:numId w:val="0"/>
        </w:numPr>
      </w:pPr>
      <w:r w:rsidRPr="009F4054">
        <w:t>The weights (W1 and W2)</w:t>
      </w:r>
    </w:p>
    <w:p w:rsidR="0088150A" w:rsidRPr="00C10A99" w:rsidRDefault="0088150A" w:rsidP="00FE7705">
      <w:r w:rsidRPr="00C10A99">
        <w:t xml:space="preserve">The Act requires the Ministry to </w:t>
      </w:r>
      <w:r w:rsidR="00B83F53">
        <w:t xml:space="preserve">apply </w:t>
      </w:r>
      <w:r w:rsidRPr="00C10A99">
        <w:t xml:space="preserve">a weighting between current </w:t>
      </w:r>
      <w:r w:rsidR="00B83F53">
        <w:t xml:space="preserve">player </w:t>
      </w:r>
      <w:r w:rsidRPr="00C10A99">
        <w:t xml:space="preserve">expenditure </w:t>
      </w:r>
      <w:r w:rsidR="00B83F53">
        <w:t>(</w:t>
      </w:r>
      <w:r w:rsidR="00B83F53" w:rsidRPr="00A710BB">
        <w:rPr>
          <w:b/>
        </w:rPr>
        <w:t>W1</w:t>
      </w:r>
      <w:r w:rsidR="00B83F53">
        <w:t xml:space="preserve">) </w:t>
      </w:r>
      <w:r w:rsidRPr="00C10A99">
        <w:t xml:space="preserve">and presentations </w:t>
      </w:r>
      <w:r w:rsidR="00B83F53">
        <w:t>(</w:t>
      </w:r>
      <w:r w:rsidR="00B83F53" w:rsidRPr="00A710BB">
        <w:rPr>
          <w:b/>
        </w:rPr>
        <w:t>W2</w:t>
      </w:r>
      <w:r w:rsidR="00B83F53">
        <w:t xml:space="preserve">) </w:t>
      </w:r>
      <w:r w:rsidRPr="00C10A99">
        <w:t>to help determine each sector</w:t>
      </w:r>
      <w:r w:rsidR="00A10EC0">
        <w:t>’</w:t>
      </w:r>
      <w:r w:rsidRPr="00C10A99">
        <w:t xml:space="preserve">s share of the </w:t>
      </w:r>
      <w:r w:rsidR="00B83F53">
        <w:t>cost (</w:t>
      </w:r>
      <w:r w:rsidR="00B5770E" w:rsidRPr="00A710BB">
        <w:rPr>
          <w:b/>
        </w:rPr>
        <w:t>C</w:t>
      </w:r>
      <w:r w:rsidR="00B5770E">
        <w:t>)</w:t>
      </w:r>
      <w:r w:rsidR="00B83F53">
        <w:t xml:space="preserve"> that each sector is required to pay in levy.</w:t>
      </w:r>
    </w:p>
    <w:p w:rsidR="00B83F53" w:rsidRDefault="00B83F53" w:rsidP="00FE7705"/>
    <w:p w:rsidR="0088150A" w:rsidRDefault="0088150A" w:rsidP="00FE7705">
      <w:r w:rsidRPr="003843E6">
        <w:t xml:space="preserve">Table </w:t>
      </w:r>
      <w:r w:rsidR="00F73506" w:rsidRPr="00FE7705">
        <w:t>2</w:t>
      </w:r>
      <w:r w:rsidR="00F73506">
        <w:t>3</w:t>
      </w:r>
      <w:r w:rsidR="00F73506" w:rsidRPr="00FE7705">
        <w:t xml:space="preserve"> </w:t>
      </w:r>
      <w:r w:rsidRPr="00FE7705">
        <w:t>show</w:t>
      </w:r>
      <w:r w:rsidR="00C36467">
        <w:t>s</w:t>
      </w:r>
      <w:r w:rsidRPr="00FE7705">
        <w:t xml:space="preserve"> the proportion of </w:t>
      </w:r>
      <w:r w:rsidR="00B5770E">
        <w:t>expenditure (</w:t>
      </w:r>
      <w:r w:rsidR="00B83F53" w:rsidRPr="00A710BB">
        <w:rPr>
          <w:b/>
        </w:rPr>
        <w:t>A</w:t>
      </w:r>
      <w:r w:rsidR="00B5770E">
        <w:t>) and</w:t>
      </w:r>
      <w:r w:rsidR="00B83F53">
        <w:t xml:space="preserve"> </w:t>
      </w:r>
      <w:r w:rsidRPr="00FE7705">
        <w:t xml:space="preserve">presentations </w:t>
      </w:r>
      <w:r w:rsidR="00B83F53">
        <w:t>(</w:t>
      </w:r>
      <w:r w:rsidR="00B83F53" w:rsidRPr="00A710BB">
        <w:rPr>
          <w:b/>
        </w:rPr>
        <w:t>B</w:t>
      </w:r>
      <w:r w:rsidR="00B83F53">
        <w:t>)</w:t>
      </w:r>
      <w:r w:rsidR="001D6AF8">
        <w:t xml:space="preserve"> </w:t>
      </w:r>
      <w:r w:rsidRPr="00FE7705">
        <w:t>attributed to each levy-paying</w:t>
      </w:r>
      <w:r w:rsidRPr="007269AE">
        <w:t xml:space="preserve"> sector for 2017</w:t>
      </w:r>
      <w:r w:rsidR="00B83F53">
        <w:t>/18</w:t>
      </w:r>
      <w:r w:rsidR="00322E9B">
        <w:t>,</w:t>
      </w:r>
      <w:r w:rsidR="00B83F53">
        <w:t xml:space="preserve"> </w:t>
      </w:r>
      <w:r w:rsidR="006C26BB">
        <w:t xml:space="preserve">the most recent </w:t>
      </w:r>
      <w:r w:rsidR="00F73506">
        <w:t>year comparative</w:t>
      </w:r>
      <w:r w:rsidR="006C26BB">
        <w:t xml:space="preserve"> data is available for all four sectors.</w:t>
      </w:r>
      <w:r w:rsidR="00B83F53">
        <w:t xml:space="preserve"> </w:t>
      </w:r>
      <w:r w:rsidRPr="007269AE">
        <w:t xml:space="preserve"> </w:t>
      </w:r>
    </w:p>
    <w:p w:rsidR="0088150A" w:rsidRPr="007269AE" w:rsidRDefault="0088150A" w:rsidP="00FE7705"/>
    <w:p w:rsidR="0088150A" w:rsidRDefault="0088150A" w:rsidP="005A26D2">
      <w:pPr>
        <w:pStyle w:val="Table"/>
      </w:pPr>
      <w:bookmarkStart w:id="294" w:name="_Toc517091248"/>
      <w:bookmarkStart w:id="295" w:name="_Toc530487447"/>
      <w:bookmarkStart w:id="296" w:name="_Toc4156641"/>
      <w:bookmarkStart w:id="297" w:name="_Toc8398941"/>
      <w:r w:rsidRPr="00252C71">
        <w:t xml:space="preserve">Table </w:t>
      </w:r>
      <w:r w:rsidR="00762F08">
        <w:rPr>
          <w:noProof/>
        </w:rPr>
        <w:fldChar w:fldCharType="begin"/>
      </w:r>
      <w:r w:rsidR="00762F08">
        <w:rPr>
          <w:noProof/>
        </w:rPr>
        <w:instrText xml:space="preserve"> SEQ Table \* ARABIC </w:instrText>
      </w:r>
      <w:r w:rsidR="00762F08">
        <w:rPr>
          <w:noProof/>
        </w:rPr>
        <w:fldChar w:fldCharType="separate"/>
      </w:r>
      <w:r w:rsidR="0002049A">
        <w:rPr>
          <w:noProof/>
        </w:rPr>
        <w:t>23</w:t>
      </w:r>
      <w:r w:rsidR="00762F08">
        <w:rPr>
          <w:noProof/>
        </w:rPr>
        <w:fldChar w:fldCharType="end"/>
      </w:r>
      <w:r w:rsidRPr="00FA4BE0">
        <w:t>: Share of presentations and expenditure by sector, 2017</w:t>
      </w:r>
      <w:bookmarkEnd w:id="294"/>
      <w:r>
        <w:t>/18</w:t>
      </w:r>
      <w:bookmarkEnd w:id="295"/>
      <w:bookmarkEnd w:id="296"/>
      <w:bookmarkEnd w:id="297"/>
    </w:p>
    <w:tbl>
      <w:tblPr>
        <w:tblW w:w="4844"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979"/>
        <w:gridCol w:w="979"/>
        <w:gridCol w:w="979"/>
        <w:gridCol w:w="978"/>
        <w:gridCol w:w="978"/>
        <w:gridCol w:w="978"/>
        <w:gridCol w:w="978"/>
        <w:gridCol w:w="978"/>
      </w:tblGrid>
      <w:tr w:rsidR="0088150A" w:rsidRPr="00537B15" w:rsidTr="0062363F">
        <w:trPr>
          <w:cantSplit/>
        </w:trPr>
        <w:tc>
          <w:tcPr>
            <w:tcW w:w="1250" w:type="pct"/>
            <w:gridSpan w:val="2"/>
            <w:tcBorders>
              <w:top w:val="nil"/>
              <w:bottom w:val="nil"/>
              <w:right w:val="single" w:sz="4" w:space="0" w:color="A6A6A6" w:themeColor="background1" w:themeShade="A6"/>
            </w:tcBorders>
            <w:shd w:val="clear" w:color="auto" w:fill="D9D9D9" w:themeFill="background1" w:themeFillShade="D9"/>
            <w:tcMar>
              <w:top w:w="0" w:type="dxa"/>
              <w:left w:w="28" w:type="dxa"/>
              <w:bottom w:w="0" w:type="dxa"/>
              <w:right w:w="28" w:type="dxa"/>
            </w:tcMar>
          </w:tcPr>
          <w:p w:rsidR="0088150A" w:rsidRPr="00537B15" w:rsidRDefault="0088150A" w:rsidP="00537B15">
            <w:pPr>
              <w:pStyle w:val="TableText"/>
              <w:spacing w:after="0"/>
              <w:jc w:val="center"/>
              <w:rPr>
                <w:rFonts w:eastAsia="Arial Unicode MS"/>
                <w:b/>
              </w:rPr>
            </w:pPr>
            <w:r w:rsidRPr="00537B15">
              <w:rPr>
                <w:b/>
              </w:rPr>
              <w:t>NCGMs</w:t>
            </w:r>
          </w:p>
        </w:tc>
        <w:tc>
          <w:tcPr>
            <w:tcW w:w="1250" w:type="pct"/>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Mar>
              <w:top w:w="0" w:type="dxa"/>
              <w:left w:w="28" w:type="dxa"/>
              <w:bottom w:w="0" w:type="dxa"/>
              <w:right w:w="28" w:type="dxa"/>
            </w:tcMar>
          </w:tcPr>
          <w:p w:rsidR="0088150A" w:rsidRPr="00537B15" w:rsidRDefault="0088150A" w:rsidP="00537B15">
            <w:pPr>
              <w:pStyle w:val="TableText"/>
              <w:spacing w:after="0"/>
              <w:jc w:val="center"/>
              <w:rPr>
                <w:rFonts w:eastAsia="Arial Unicode MS"/>
                <w:b/>
              </w:rPr>
            </w:pPr>
            <w:r w:rsidRPr="00537B15">
              <w:rPr>
                <w:b/>
              </w:rPr>
              <w:t>Casinos</w:t>
            </w:r>
          </w:p>
        </w:tc>
        <w:tc>
          <w:tcPr>
            <w:tcW w:w="1250" w:type="pct"/>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Mar>
              <w:top w:w="0" w:type="dxa"/>
              <w:left w:w="28" w:type="dxa"/>
              <w:bottom w:w="0" w:type="dxa"/>
              <w:right w:w="28" w:type="dxa"/>
            </w:tcMar>
          </w:tcPr>
          <w:p w:rsidR="0088150A" w:rsidRPr="00537B15" w:rsidRDefault="0088150A" w:rsidP="00537B15">
            <w:pPr>
              <w:pStyle w:val="TableText"/>
              <w:spacing w:after="0"/>
              <w:jc w:val="center"/>
              <w:rPr>
                <w:rFonts w:eastAsia="Arial Unicode MS"/>
                <w:b/>
              </w:rPr>
            </w:pPr>
            <w:r w:rsidRPr="00537B15">
              <w:rPr>
                <w:b/>
              </w:rPr>
              <w:t>NZRB</w:t>
            </w:r>
          </w:p>
        </w:tc>
        <w:tc>
          <w:tcPr>
            <w:tcW w:w="1250" w:type="pct"/>
            <w:gridSpan w:val="2"/>
            <w:tcBorders>
              <w:top w:val="nil"/>
              <w:left w:val="single" w:sz="4" w:space="0" w:color="A6A6A6" w:themeColor="background1" w:themeShade="A6"/>
              <w:bottom w:val="nil"/>
            </w:tcBorders>
            <w:shd w:val="clear" w:color="auto" w:fill="D9D9D9" w:themeFill="background1" w:themeFillShade="D9"/>
          </w:tcPr>
          <w:p w:rsidR="0088150A" w:rsidRPr="00537B15" w:rsidRDefault="0088150A" w:rsidP="00537B15">
            <w:pPr>
              <w:pStyle w:val="TableText"/>
              <w:spacing w:after="0"/>
              <w:jc w:val="center"/>
              <w:rPr>
                <w:b/>
              </w:rPr>
            </w:pPr>
            <w:r w:rsidRPr="00537B15">
              <w:rPr>
                <w:b/>
              </w:rPr>
              <w:t>NZLC</w:t>
            </w:r>
          </w:p>
        </w:tc>
      </w:tr>
      <w:tr w:rsidR="00537B15" w:rsidRPr="00537B15" w:rsidTr="0062363F">
        <w:trPr>
          <w:cantSplit/>
        </w:trPr>
        <w:tc>
          <w:tcPr>
            <w:tcW w:w="625" w:type="pct"/>
            <w:tcBorders>
              <w:top w:val="nil"/>
              <w:bottom w:val="nil"/>
            </w:tcBorders>
            <w:shd w:val="clear" w:color="auto" w:fill="D9D9D9" w:themeFill="background1" w:themeFillShade="D9"/>
            <w:tcMar>
              <w:top w:w="0" w:type="dxa"/>
              <w:left w:w="28" w:type="dxa"/>
              <w:bottom w:w="0" w:type="dxa"/>
              <w:right w:w="28" w:type="dxa"/>
            </w:tcMar>
          </w:tcPr>
          <w:p w:rsidR="0088150A" w:rsidRPr="00537B15" w:rsidRDefault="0088150A" w:rsidP="00537B15">
            <w:pPr>
              <w:pStyle w:val="TableText"/>
              <w:spacing w:before="0"/>
              <w:ind w:left="-28" w:right="-28"/>
              <w:jc w:val="center"/>
              <w:rPr>
                <w:sz w:val="15"/>
                <w:szCs w:val="15"/>
              </w:rPr>
            </w:pPr>
            <w:r w:rsidRPr="00537B15">
              <w:rPr>
                <w:sz w:val="15"/>
                <w:szCs w:val="15"/>
              </w:rPr>
              <w:t>Presentations</w:t>
            </w:r>
          </w:p>
        </w:tc>
        <w:tc>
          <w:tcPr>
            <w:tcW w:w="625" w:type="pct"/>
            <w:tcBorders>
              <w:top w:val="nil"/>
              <w:bottom w:val="nil"/>
              <w:right w:val="single" w:sz="4" w:space="0" w:color="A6A6A6" w:themeColor="background1" w:themeShade="A6"/>
            </w:tcBorders>
            <w:shd w:val="clear" w:color="auto" w:fill="D9D9D9" w:themeFill="background1" w:themeFillShade="D9"/>
          </w:tcPr>
          <w:p w:rsidR="0088150A" w:rsidRPr="00537B15" w:rsidRDefault="0088150A" w:rsidP="00537B15">
            <w:pPr>
              <w:pStyle w:val="TableText"/>
              <w:spacing w:before="0"/>
              <w:ind w:left="-28" w:right="-28"/>
              <w:jc w:val="center"/>
              <w:rPr>
                <w:sz w:val="15"/>
                <w:szCs w:val="15"/>
              </w:rPr>
            </w:pPr>
            <w:r w:rsidRPr="00537B15">
              <w:rPr>
                <w:sz w:val="15"/>
                <w:szCs w:val="15"/>
              </w:rPr>
              <w:t>Expenditure</w:t>
            </w:r>
          </w:p>
        </w:tc>
        <w:tc>
          <w:tcPr>
            <w:tcW w:w="625" w:type="pct"/>
            <w:tcBorders>
              <w:top w:val="nil"/>
              <w:left w:val="single" w:sz="4" w:space="0" w:color="A6A6A6" w:themeColor="background1" w:themeShade="A6"/>
              <w:bottom w:val="nil"/>
            </w:tcBorders>
            <w:shd w:val="clear" w:color="auto" w:fill="D9D9D9" w:themeFill="background1" w:themeFillShade="D9"/>
            <w:tcMar>
              <w:top w:w="0" w:type="dxa"/>
              <w:left w:w="28" w:type="dxa"/>
              <w:bottom w:w="0" w:type="dxa"/>
              <w:right w:w="28" w:type="dxa"/>
            </w:tcMar>
          </w:tcPr>
          <w:p w:rsidR="0088150A" w:rsidRPr="00537B15" w:rsidRDefault="0088150A" w:rsidP="00537B15">
            <w:pPr>
              <w:pStyle w:val="TableText"/>
              <w:spacing w:before="0"/>
              <w:ind w:left="-28" w:right="-28"/>
              <w:jc w:val="center"/>
              <w:rPr>
                <w:sz w:val="15"/>
                <w:szCs w:val="15"/>
              </w:rPr>
            </w:pPr>
            <w:r w:rsidRPr="00537B15">
              <w:rPr>
                <w:sz w:val="15"/>
                <w:szCs w:val="15"/>
              </w:rPr>
              <w:t>Presentations</w:t>
            </w:r>
          </w:p>
        </w:tc>
        <w:tc>
          <w:tcPr>
            <w:tcW w:w="625" w:type="pct"/>
            <w:tcBorders>
              <w:top w:val="nil"/>
              <w:bottom w:val="nil"/>
              <w:right w:val="single" w:sz="4" w:space="0" w:color="A6A6A6" w:themeColor="background1" w:themeShade="A6"/>
            </w:tcBorders>
            <w:shd w:val="clear" w:color="auto" w:fill="D9D9D9" w:themeFill="background1" w:themeFillShade="D9"/>
          </w:tcPr>
          <w:p w:rsidR="0088150A" w:rsidRPr="00537B15" w:rsidRDefault="0088150A" w:rsidP="00537B15">
            <w:pPr>
              <w:pStyle w:val="TableText"/>
              <w:spacing w:before="0"/>
              <w:ind w:left="-28" w:right="-28"/>
              <w:jc w:val="center"/>
              <w:rPr>
                <w:sz w:val="15"/>
                <w:szCs w:val="15"/>
              </w:rPr>
            </w:pPr>
            <w:r w:rsidRPr="00537B15">
              <w:rPr>
                <w:sz w:val="15"/>
                <w:szCs w:val="15"/>
              </w:rPr>
              <w:t>Expenditure</w:t>
            </w:r>
          </w:p>
        </w:tc>
        <w:tc>
          <w:tcPr>
            <w:tcW w:w="625" w:type="pct"/>
            <w:tcBorders>
              <w:top w:val="nil"/>
              <w:left w:val="single" w:sz="4" w:space="0" w:color="A6A6A6" w:themeColor="background1" w:themeShade="A6"/>
              <w:bottom w:val="nil"/>
            </w:tcBorders>
            <w:shd w:val="clear" w:color="auto" w:fill="D9D9D9" w:themeFill="background1" w:themeFillShade="D9"/>
            <w:tcMar>
              <w:top w:w="0" w:type="dxa"/>
              <w:left w:w="28" w:type="dxa"/>
              <w:bottom w:w="0" w:type="dxa"/>
              <w:right w:w="28" w:type="dxa"/>
            </w:tcMar>
          </w:tcPr>
          <w:p w:rsidR="0088150A" w:rsidRPr="00537B15" w:rsidRDefault="0088150A" w:rsidP="00537B15">
            <w:pPr>
              <w:pStyle w:val="TableText"/>
              <w:spacing w:before="0"/>
              <w:ind w:left="-28" w:right="-28"/>
              <w:jc w:val="center"/>
              <w:rPr>
                <w:sz w:val="15"/>
                <w:szCs w:val="15"/>
              </w:rPr>
            </w:pPr>
            <w:r w:rsidRPr="00537B15">
              <w:rPr>
                <w:sz w:val="15"/>
                <w:szCs w:val="15"/>
              </w:rPr>
              <w:t>Presentations</w:t>
            </w:r>
          </w:p>
        </w:tc>
        <w:tc>
          <w:tcPr>
            <w:tcW w:w="625" w:type="pct"/>
            <w:tcBorders>
              <w:top w:val="nil"/>
              <w:bottom w:val="nil"/>
              <w:right w:val="single" w:sz="4" w:space="0" w:color="A6A6A6" w:themeColor="background1" w:themeShade="A6"/>
            </w:tcBorders>
            <w:shd w:val="clear" w:color="auto" w:fill="D9D9D9" w:themeFill="background1" w:themeFillShade="D9"/>
          </w:tcPr>
          <w:p w:rsidR="0088150A" w:rsidRPr="00537B15" w:rsidRDefault="0088150A" w:rsidP="00537B15">
            <w:pPr>
              <w:pStyle w:val="TableText"/>
              <w:spacing w:before="0"/>
              <w:ind w:left="-28" w:right="-28"/>
              <w:jc w:val="center"/>
              <w:rPr>
                <w:sz w:val="15"/>
                <w:szCs w:val="15"/>
              </w:rPr>
            </w:pPr>
            <w:r w:rsidRPr="00537B15">
              <w:rPr>
                <w:sz w:val="15"/>
                <w:szCs w:val="15"/>
              </w:rPr>
              <w:t>Expenditure</w:t>
            </w:r>
          </w:p>
        </w:tc>
        <w:tc>
          <w:tcPr>
            <w:tcW w:w="625" w:type="pct"/>
            <w:tcBorders>
              <w:top w:val="nil"/>
              <w:left w:val="single" w:sz="4" w:space="0" w:color="A6A6A6" w:themeColor="background1" w:themeShade="A6"/>
              <w:bottom w:val="nil"/>
            </w:tcBorders>
            <w:shd w:val="clear" w:color="auto" w:fill="D9D9D9" w:themeFill="background1" w:themeFillShade="D9"/>
          </w:tcPr>
          <w:p w:rsidR="0088150A" w:rsidRPr="00537B15" w:rsidRDefault="0088150A" w:rsidP="00537B15">
            <w:pPr>
              <w:pStyle w:val="TableText"/>
              <w:spacing w:before="0"/>
              <w:ind w:left="-28" w:right="-28"/>
              <w:jc w:val="center"/>
              <w:rPr>
                <w:sz w:val="15"/>
                <w:szCs w:val="15"/>
              </w:rPr>
            </w:pPr>
            <w:r w:rsidRPr="00537B15">
              <w:rPr>
                <w:sz w:val="15"/>
                <w:szCs w:val="15"/>
              </w:rPr>
              <w:t>Presentations</w:t>
            </w:r>
          </w:p>
        </w:tc>
        <w:tc>
          <w:tcPr>
            <w:tcW w:w="625" w:type="pct"/>
            <w:tcBorders>
              <w:top w:val="nil"/>
              <w:bottom w:val="nil"/>
            </w:tcBorders>
            <w:shd w:val="clear" w:color="auto" w:fill="D9D9D9" w:themeFill="background1" w:themeFillShade="D9"/>
          </w:tcPr>
          <w:p w:rsidR="0088150A" w:rsidRPr="00537B15" w:rsidRDefault="0088150A" w:rsidP="00537B15">
            <w:pPr>
              <w:pStyle w:val="TableText"/>
              <w:spacing w:before="0"/>
              <w:ind w:left="-28" w:right="-28"/>
              <w:jc w:val="center"/>
              <w:rPr>
                <w:sz w:val="15"/>
                <w:szCs w:val="15"/>
              </w:rPr>
            </w:pPr>
            <w:r w:rsidRPr="00537B15">
              <w:rPr>
                <w:sz w:val="15"/>
                <w:szCs w:val="15"/>
              </w:rPr>
              <w:t>Expenditure</w:t>
            </w:r>
          </w:p>
        </w:tc>
      </w:tr>
      <w:tr w:rsidR="0088150A" w:rsidRPr="003B6A3A" w:rsidTr="0062363F">
        <w:trPr>
          <w:cantSplit/>
        </w:trPr>
        <w:tc>
          <w:tcPr>
            <w:tcW w:w="625" w:type="pct"/>
            <w:tcBorders>
              <w:top w:val="nil"/>
            </w:tcBorders>
            <w:shd w:val="clear" w:color="auto" w:fill="auto"/>
            <w:noWrap/>
            <w:tcMar>
              <w:top w:w="0" w:type="dxa"/>
              <w:left w:w="28" w:type="dxa"/>
              <w:bottom w:w="0" w:type="dxa"/>
              <w:right w:w="28" w:type="dxa"/>
            </w:tcMar>
          </w:tcPr>
          <w:p w:rsidR="0088150A" w:rsidRPr="00DA6AC4" w:rsidRDefault="0088150A" w:rsidP="00537B15">
            <w:pPr>
              <w:pStyle w:val="TableText"/>
              <w:jc w:val="center"/>
              <w:rPr>
                <w:rFonts w:eastAsia="Arial Unicode MS"/>
              </w:rPr>
            </w:pPr>
            <w:bookmarkStart w:id="298" w:name="_Toc516835903"/>
            <w:bookmarkStart w:id="299" w:name="_Toc516836151"/>
            <w:r w:rsidRPr="00DA6AC4">
              <w:rPr>
                <w:rFonts w:eastAsia="Arial Unicode MS"/>
              </w:rPr>
              <w:t>0.53</w:t>
            </w:r>
            <w:bookmarkEnd w:id="298"/>
            <w:bookmarkEnd w:id="299"/>
            <w:r w:rsidRPr="00DA6AC4">
              <w:rPr>
                <w:rFonts w:eastAsia="Arial Unicode MS"/>
              </w:rPr>
              <w:t>3</w:t>
            </w:r>
          </w:p>
        </w:tc>
        <w:tc>
          <w:tcPr>
            <w:tcW w:w="625" w:type="pct"/>
            <w:tcBorders>
              <w:top w:val="nil"/>
              <w:right w:val="single" w:sz="4" w:space="0" w:color="A6A6A6" w:themeColor="background1" w:themeShade="A6"/>
            </w:tcBorders>
            <w:shd w:val="clear" w:color="auto" w:fill="auto"/>
          </w:tcPr>
          <w:p w:rsidR="0088150A" w:rsidRPr="00DA6AC4" w:rsidRDefault="0088150A">
            <w:pPr>
              <w:pStyle w:val="TableText"/>
              <w:jc w:val="center"/>
              <w:rPr>
                <w:rFonts w:eastAsia="Arial Unicode MS"/>
              </w:rPr>
            </w:pPr>
            <w:r w:rsidRPr="00DA6AC4">
              <w:rPr>
                <w:rFonts w:eastAsia="Arial Unicode MS"/>
              </w:rPr>
              <w:t>0.</w:t>
            </w:r>
            <w:r w:rsidR="00B5770E" w:rsidRPr="00DA6AC4">
              <w:rPr>
                <w:rFonts w:eastAsia="Arial Unicode MS"/>
              </w:rPr>
              <w:t>37</w:t>
            </w:r>
            <w:r w:rsidR="00B5770E">
              <w:rPr>
                <w:rFonts w:eastAsia="Arial Unicode MS"/>
              </w:rPr>
              <w:t>6</w:t>
            </w:r>
          </w:p>
        </w:tc>
        <w:tc>
          <w:tcPr>
            <w:tcW w:w="625" w:type="pct"/>
            <w:tcBorders>
              <w:top w:val="nil"/>
              <w:left w:val="single" w:sz="4" w:space="0" w:color="A6A6A6" w:themeColor="background1" w:themeShade="A6"/>
            </w:tcBorders>
            <w:shd w:val="clear" w:color="auto" w:fill="auto"/>
            <w:noWrap/>
            <w:tcMar>
              <w:top w:w="0" w:type="dxa"/>
              <w:left w:w="28" w:type="dxa"/>
              <w:bottom w:w="0" w:type="dxa"/>
              <w:right w:w="28" w:type="dxa"/>
            </w:tcMar>
          </w:tcPr>
          <w:p w:rsidR="0088150A" w:rsidRPr="00DA6AC4" w:rsidRDefault="0088150A" w:rsidP="00537B15">
            <w:pPr>
              <w:pStyle w:val="TableText"/>
              <w:jc w:val="center"/>
              <w:rPr>
                <w:rFonts w:eastAsia="Arial Unicode MS"/>
              </w:rPr>
            </w:pPr>
            <w:r w:rsidRPr="00DA6AC4">
              <w:rPr>
                <w:rFonts w:eastAsia="Arial Unicode MS"/>
              </w:rPr>
              <w:t>0.230</w:t>
            </w:r>
          </w:p>
        </w:tc>
        <w:tc>
          <w:tcPr>
            <w:tcW w:w="625" w:type="pct"/>
            <w:tcBorders>
              <w:top w:val="nil"/>
              <w:right w:val="single" w:sz="4" w:space="0" w:color="A6A6A6" w:themeColor="background1" w:themeShade="A6"/>
            </w:tcBorders>
            <w:shd w:val="clear" w:color="auto" w:fill="auto"/>
          </w:tcPr>
          <w:p w:rsidR="0088150A" w:rsidRPr="00DA6AC4" w:rsidRDefault="0088150A">
            <w:pPr>
              <w:pStyle w:val="TableText"/>
              <w:jc w:val="center"/>
              <w:rPr>
                <w:rFonts w:eastAsia="Arial Unicode MS"/>
              </w:rPr>
            </w:pPr>
            <w:r w:rsidRPr="00DA6AC4">
              <w:rPr>
                <w:rFonts w:eastAsia="Arial Unicode MS"/>
              </w:rPr>
              <w:t>0.</w:t>
            </w:r>
            <w:r w:rsidR="00B5770E" w:rsidRPr="00DA6AC4">
              <w:rPr>
                <w:rFonts w:eastAsia="Arial Unicode MS"/>
              </w:rPr>
              <w:t>24</w:t>
            </w:r>
            <w:r w:rsidR="00B5770E">
              <w:rPr>
                <w:rFonts w:eastAsia="Arial Unicode MS"/>
              </w:rPr>
              <w:t>2</w:t>
            </w:r>
          </w:p>
        </w:tc>
        <w:tc>
          <w:tcPr>
            <w:tcW w:w="625" w:type="pct"/>
            <w:tcBorders>
              <w:top w:val="nil"/>
              <w:left w:val="single" w:sz="4" w:space="0" w:color="A6A6A6" w:themeColor="background1" w:themeShade="A6"/>
            </w:tcBorders>
            <w:shd w:val="clear" w:color="auto" w:fill="auto"/>
            <w:noWrap/>
            <w:tcMar>
              <w:top w:w="0" w:type="dxa"/>
              <w:left w:w="28" w:type="dxa"/>
              <w:bottom w:w="0" w:type="dxa"/>
              <w:right w:w="28" w:type="dxa"/>
            </w:tcMar>
          </w:tcPr>
          <w:p w:rsidR="0088150A" w:rsidRPr="00DA6AC4" w:rsidRDefault="0088150A" w:rsidP="00537B15">
            <w:pPr>
              <w:pStyle w:val="TableText"/>
              <w:jc w:val="center"/>
              <w:rPr>
                <w:rFonts w:eastAsia="Arial Unicode MS"/>
              </w:rPr>
            </w:pPr>
            <w:r w:rsidRPr="00DA6AC4">
              <w:rPr>
                <w:rFonts w:eastAsia="Arial Unicode MS"/>
              </w:rPr>
              <w:t>0.104</w:t>
            </w:r>
          </w:p>
        </w:tc>
        <w:tc>
          <w:tcPr>
            <w:tcW w:w="625" w:type="pct"/>
            <w:tcBorders>
              <w:top w:val="nil"/>
              <w:right w:val="single" w:sz="4" w:space="0" w:color="A6A6A6" w:themeColor="background1" w:themeShade="A6"/>
            </w:tcBorders>
            <w:shd w:val="clear" w:color="auto" w:fill="auto"/>
          </w:tcPr>
          <w:p w:rsidR="0088150A" w:rsidRPr="00DA6AC4" w:rsidRDefault="0088150A">
            <w:pPr>
              <w:pStyle w:val="TableText"/>
              <w:jc w:val="center"/>
              <w:rPr>
                <w:rFonts w:eastAsia="Arial Unicode MS"/>
              </w:rPr>
            </w:pPr>
            <w:r w:rsidRPr="00DA6AC4">
              <w:rPr>
                <w:rFonts w:eastAsia="Arial Unicode MS"/>
              </w:rPr>
              <w:t>0.</w:t>
            </w:r>
            <w:r w:rsidR="00B5770E" w:rsidRPr="00DA6AC4">
              <w:rPr>
                <w:rFonts w:eastAsia="Arial Unicode MS"/>
              </w:rPr>
              <w:t>14</w:t>
            </w:r>
            <w:r w:rsidR="00B5770E">
              <w:rPr>
                <w:rFonts w:eastAsia="Arial Unicode MS"/>
              </w:rPr>
              <w:t>7</w:t>
            </w:r>
          </w:p>
        </w:tc>
        <w:tc>
          <w:tcPr>
            <w:tcW w:w="625" w:type="pct"/>
            <w:tcBorders>
              <w:top w:val="nil"/>
              <w:left w:val="single" w:sz="4" w:space="0" w:color="A6A6A6" w:themeColor="background1" w:themeShade="A6"/>
            </w:tcBorders>
            <w:shd w:val="clear" w:color="auto" w:fill="auto"/>
          </w:tcPr>
          <w:p w:rsidR="0088150A" w:rsidRPr="00DA6AC4" w:rsidRDefault="0088150A" w:rsidP="00537B15">
            <w:pPr>
              <w:pStyle w:val="TableText"/>
              <w:jc w:val="center"/>
              <w:rPr>
                <w:rFonts w:eastAsia="Arial Unicode MS"/>
              </w:rPr>
            </w:pPr>
            <w:r w:rsidRPr="00DA6AC4">
              <w:rPr>
                <w:rFonts w:eastAsia="Arial Unicode MS"/>
              </w:rPr>
              <w:t>0.133</w:t>
            </w:r>
          </w:p>
        </w:tc>
        <w:tc>
          <w:tcPr>
            <w:tcW w:w="625" w:type="pct"/>
            <w:tcBorders>
              <w:top w:val="nil"/>
            </w:tcBorders>
            <w:shd w:val="clear" w:color="auto" w:fill="auto"/>
          </w:tcPr>
          <w:p w:rsidR="0088150A" w:rsidRPr="00DA6AC4" w:rsidRDefault="0088150A">
            <w:pPr>
              <w:pStyle w:val="TableText"/>
              <w:jc w:val="center"/>
              <w:rPr>
                <w:rFonts w:eastAsia="Arial Unicode MS"/>
              </w:rPr>
            </w:pPr>
            <w:r w:rsidRPr="00DA6AC4">
              <w:rPr>
                <w:rFonts w:eastAsia="Arial Unicode MS"/>
              </w:rPr>
              <w:t>0.</w:t>
            </w:r>
            <w:r w:rsidR="00B5770E" w:rsidRPr="00DA6AC4">
              <w:rPr>
                <w:rFonts w:eastAsia="Arial Unicode MS"/>
              </w:rPr>
              <w:t>23</w:t>
            </w:r>
            <w:r w:rsidR="00B5770E">
              <w:rPr>
                <w:rFonts w:eastAsia="Arial Unicode MS"/>
              </w:rPr>
              <w:t>5</w:t>
            </w:r>
          </w:p>
        </w:tc>
      </w:tr>
    </w:tbl>
    <w:p w:rsidR="00FE7705" w:rsidRPr="00FE7705" w:rsidRDefault="00FE7705" w:rsidP="00537B15">
      <w:bookmarkStart w:id="300" w:name="_Toc516836152"/>
    </w:p>
    <w:bookmarkEnd w:id="300"/>
    <w:p w:rsidR="006C26BB" w:rsidRDefault="0088150A" w:rsidP="00E93A4A">
      <w:r w:rsidRPr="00E312E8">
        <w:t xml:space="preserve">The top line of the </w:t>
      </w:r>
      <w:r w:rsidR="006C26BB">
        <w:t xml:space="preserve">levy </w:t>
      </w:r>
      <w:r w:rsidRPr="00E312E8">
        <w:t xml:space="preserve">formula determines the amount </w:t>
      </w:r>
      <w:r w:rsidR="006C26BB">
        <w:t>each sector shall pay.</w:t>
      </w:r>
      <w:r w:rsidRPr="00E312E8">
        <w:t xml:space="preserve"> When a sector</w:t>
      </w:r>
      <w:r w:rsidR="00A10EC0">
        <w:t>’</w:t>
      </w:r>
      <w:r w:rsidRPr="00E312E8">
        <w:t>s proportion of expenditure is substantially different from its proportion of presentations</w:t>
      </w:r>
      <w:r>
        <w:t xml:space="preserve"> (</w:t>
      </w:r>
      <w:r w:rsidRPr="00D65DD0">
        <w:t>W1</w:t>
      </w:r>
      <w:r w:rsidRPr="00792FE4">
        <w:t xml:space="preserve"> </w:t>
      </w:r>
      <w:r w:rsidRPr="00E312E8">
        <w:t xml:space="preserve">and </w:t>
      </w:r>
      <w:r w:rsidRPr="00D65DD0">
        <w:t>W2</w:t>
      </w:r>
      <w:r>
        <w:t xml:space="preserve"> respectively</w:t>
      </w:r>
      <w:r w:rsidRPr="00D65DD0">
        <w:t>)</w:t>
      </w:r>
      <w:r w:rsidRPr="00C10A99">
        <w:t>, the weighting between expenditure and presentations is critical to determin</w:t>
      </w:r>
      <w:r>
        <w:t xml:space="preserve">e how much each </w:t>
      </w:r>
      <w:r w:rsidRPr="00C10A99">
        <w:t>sector will be required to pay</w:t>
      </w:r>
      <w:r>
        <w:t xml:space="preserve">. </w:t>
      </w:r>
    </w:p>
    <w:p w:rsidR="0088150A" w:rsidRPr="00E0156C" w:rsidRDefault="0088150A">
      <w:pPr>
        <w:pStyle w:val="Heading2"/>
      </w:pPr>
      <w:bookmarkStart w:id="301" w:name="_Toc9239613"/>
      <w:bookmarkStart w:id="302" w:name="_Toc530487421"/>
      <w:r w:rsidRPr="00C10A99">
        <w:t xml:space="preserve">Levy </w:t>
      </w:r>
      <w:r w:rsidR="00243E10">
        <w:t>rates</w:t>
      </w:r>
      <w:bookmarkEnd w:id="301"/>
      <w:r w:rsidR="00243E10">
        <w:t xml:space="preserve"> </w:t>
      </w:r>
      <w:bookmarkEnd w:id="302"/>
    </w:p>
    <w:p w:rsidR="00A932EB" w:rsidRDefault="0088150A" w:rsidP="00FE7705">
      <w:r>
        <w:t xml:space="preserve">Table </w:t>
      </w:r>
      <w:r w:rsidR="00F73506">
        <w:t>24</w:t>
      </w:r>
      <w:r>
        <w:t xml:space="preserve"> </w:t>
      </w:r>
      <w:r w:rsidR="005275AF">
        <w:t xml:space="preserve">sets out </w:t>
      </w:r>
      <w:r w:rsidR="00A932EB">
        <w:t xml:space="preserve">each sector’s </w:t>
      </w:r>
      <w:r w:rsidR="005275AF">
        <w:t>levy rate for 2019/20 to 2021/22, expected payment amounts</w:t>
      </w:r>
      <w:r w:rsidR="00C36467">
        <w:t>,</w:t>
      </w:r>
      <w:r w:rsidR="005275AF">
        <w:t xml:space="preserve"> </w:t>
      </w:r>
      <w:r w:rsidR="00A932EB">
        <w:t>a</w:t>
      </w:r>
      <w:r w:rsidR="005275AF">
        <w:t xml:space="preserve">nd </w:t>
      </w:r>
      <w:r w:rsidR="00A932EB">
        <w:t xml:space="preserve">percent </w:t>
      </w:r>
      <w:r w:rsidR="005275AF">
        <w:t>s</w:t>
      </w:r>
      <w:r w:rsidR="00A932EB">
        <w:t xml:space="preserve">hares </w:t>
      </w:r>
      <w:r w:rsidR="005275AF">
        <w:t xml:space="preserve">for the 30/70 weighting. </w:t>
      </w:r>
      <w:r w:rsidR="00A932EB">
        <w:t xml:space="preserve">This is a change from previous levy </w:t>
      </w:r>
      <w:r w:rsidR="00F73506">
        <w:t>periods that</w:t>
      </w:r>
      <w:r w:rsidR="00A932EB">
        <w:t xml:space="preserve"> have used the 10/90 weighting. The 30/70 weighting reflects changing patterns of player expenditure and presentations</w:t>
      </w:r>
      <w:r w:rsidR="00322E9B">
        <w:t>,</w:t>
      </w:r>
      <w:r w:rsidR="00A932EB">
        <w:t xml:space="preserve"> and recognises that too high a weighting on presentations alone does not adequately attribute to each sector </w:t>
      </w:r>
      <w:r w:rsidR="00CB52C5">
        <w:t xml:space="preserve">its </w:t>
      </w:r>
      <w:r w:rsidR="00A932EB">
        <w:t xml:space="preserve">fair share of costs </w:t>
      </w:r>
      <w:r w:rsidR="00C36467">
        <w:t xml:space="preserve">for </w:t>
      </w:r>
      <w:r w:rsidR="00A932EB">
        <w:t>low to moderate harm</w:t>
      </w:r>
      <w:r w:rsidR="00C36467">
        <w:t>,</w:t>
      </w:r>
      <w:r w:rsidR="00A932EB">
        <w:t xml:space="preserve"> or </w:t>
      </w:r>
      <w:r w:rsidR="00322E9B">
        <w:t>of s</w:t>
      </w:r>
      <w:r w:rsidR="00A932EB">
        <w:t>trategy activities such as public health not covered by presentations to intervention services.</w:t>
      </w:r>
    </w:p>
    <w:p w:rsidR="006762EC" w:rsidRDefault="006762EC" w:rsidP="00FE7705"/>
    <w:bookmarkEnd w:id="285"/>
    <w:p w:rsidR="005F1E69" w:rsidRDefault="00A932EB" w:rsidP="00E93A4A">
      <w:pPr>
        <w:widowControl w:val="0"/>
      </w:pPr>
      <w:r>
        <w:t xml:space="preserve">The top row </w:t>
      </w:r>
      <w:r w:rsidR="00DE359A">
        <w:t xml:space="preserve">of the table </w:t>
      </w:r>
      <w:r>
        <w:t xml:space="preserve">shows the levy rate for each sector, </w:t>
      </w:r>
      <w:r w:rsidR="00DE359A">
        <w:t xml:space="preserve">as </w:t>
      </w:r>
      <w:r>
        <w:t>the percentage of player expenditure each sector must pay as a levy. For example</w:t>
      </w:r>
      <w:r w:rsidR="00CB52C5">
        <w:t>,</w:t>
      </w:r>
      <w:r>
        <w:t xml:space="preserve"> a rate of 0.85 means that the sector must </w:t>
      </w:r>
      <w:r w:rsidR="00C36467">
        <w:t xml:space="preserve">pay </w:t>
      </w:r>
      <w:r>
        <w:t xml:space="preserve">0.85 cents for each dollar of player expenditure from 1 July 2019 to 30 June 2022. The second row shows the </w:t>
      </w:r>
      <w:r w:rsidR="00243E10">
        <w:t xml:space="preserve">expected levy </w:t>
      </w:r>
      <w:r>
        <w:t xml:space="preserve">amount each sector would pay if actual player expenditure </w:t>
      </w:r>
      <w:r w:rsidR="00243E10">
        <w:t>matches the forecasts. The third row shows this amount as a percentage of the total expected in levy payments (having adjusted for R). The last row shows each sector’s share of the total cost</w:t>
      </w:r>
      <w:r w:rsidR="007F080C">
        <w:t xml:space="preserve"> </w:t>
      </w:r>
      <w:r w:rsidR="00794B11">
        <w:t>to</w:t>
      </w:r>
      <w:r w:rsidR="007F080C">
        <w:t xml:space="preserve"> fund the </w:t>
      </w:r>
      <w:r w:rsidR="000C68A8">
        <w:t>s</w:t>
      </w:r>
      <w:r w:rsidR="007F080C">
        <w:t>trategy</w:t>
      </w:r>
      <w:r w:rsidR="00794B11">
        <w:t xml:space="preserve"> over the levy period</w:t>
      </w:r>
      <w:r w:rsidR="007F080C">
        <w:t xml:space="preserve">. </w:t>
      </w:r>
    </w:p>
    <w:p w:rsidR="00363AB1" w:rsidRDefault="00363AB1">
      <w:r>
        <w:br w:type="page"/>
      </w:r>
    </w:p>
    <w:p w:rsidR="005F1E69" w:rsidRPr="00E93A4A" w:rsidRDefault="005F1E69" w:rsidP="00BF6A40">
      <w:pPr>
        <w:pStyle w:val="Table"/>
      </w:pPr>
      <w:bookmarkStart w:id="303" w:name="_Toc4156642"/>
      <w:bookmarkStart w:id="304" w:name="_Toc8398942"/>
      <w:r w:rsidRPr="0099328F">
        <w:lastRenderedPageBreak/>
        <w:t xml:space="preserve">Table </w:t>
      </w:r>
      <w:r w:rsidR="00762F08">
        <w:rPr>
          <w:noProof/>
        </w:rPr>
        <w:fldChar w:fldCharType="begin"/>
      </w:r>
      <w:r w:rsidR="00762F08">
        <w:rPr>
          <w:noProof/>
        </w:rPr>
        <w:instrText xml:space="preserve"> SEQ Table \* ARABIC </w:instrText>
      </w:r>
      <w:r w:rsidR="00762F08">
        <w:rPr>
          <w:noProof/>
        </w:rPr>
        <w:fldChar w:fldCharType="separate"/>
      </w:r>
      <w:r w:rsidR="0002049A">
        <w:rPr>
          <w:noProof/>
        </w:rPr>
        <w:t>24</w:t>
      </w:r>
      <w:r w:rsidR="00762F08">
        <w:rPr>
          <w:noProof/>
        </w:rPr>
        <w:fldChar w:fldCharType="end"/>
      </w:r>
      <w:r>
        <w:t>:</w:t>
      </w:r>
      <w:r w:rsidRPr="0099328F">
        <w:t xml:space="preserve"> </w:t>
      </w:r>
      <w:r w:rsidR="005275AF">
        <w:t xml:space="preserve">Levy </w:t>
      </w:r>
      <w:r w:rsidR="00794B11">
        <w:t xml:space="preserve">rates </w:t>
      </w:r>
      <w:r w:rsidR="00794B11" w:rsidRPr="0099328F">
        <w:t>per</w:t>
      </w:r>
      <w:r w:rsidR="005275AF" w:rsidRPr="0099328F">
        <w:t xml:space="preserve"> sector: </w:t>
      </w:r>
      <w:r w:rsidR="00794B11" w:rsidRPr="0099328F">
        <w:t>30/70 weighting</w:t>
      </w:r>
      <w:r w:rsidR="00794B11">
        <w:t xml:space="preserve"> </w:t>
      </w:r>
      <w:r w:rsidR="00794B11" w:rsidRPr="00E93A4A">
        <w:t>(</w:t>
      </w:r>
      <w:r w:rsidR="005275AF" w:rsidRPr="00794B11">
        <w:rPr>
          <w:rFonts w:eastAsia="Arial Unicode MS"/>
          <w:sz w:val="18"/>
        </w:rPr>
        <w:t xml:space="preserve">all </w:t>
      </w:r>
      <w:r w:rsidR="00794B11">
        <w:rPr>
          <w:rFonts w:eastAsia="Arial Unicode MS"/>
          <w:sz w:val="18"/>
        </w:rPr>
        <w:t xml:space="preserve">figures </w:t>
      </w:r>
      <w:r w:rsidR="005275AF" w:rsidRPr="00794B11">
        <w:rPr>
          <w:rFonts w:eastAsia="Arial Unicode MS"/>
          <w:sz w:val="18"/>
        </w:rPr>
        <w:t>GST exclusive)</w:t>
      </w:r>
      <w:bookmarkEnd w:id="303"/>
      <w:bookmarkEnd w:id="304"/>
    </w:p>
    <w:tbl>
      <w:tblPr>
        <w:tblW w:w="4790"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3629"/>
        <w:gridCol w:w="851"/>
        <w:gridCol w:w="1135"/>
        <w:gridCol w:w="992"/>
        <w:gridCol w:w="1133"/>
      </w:tblGrid>
      <w:tr w:rsidR="005C7F55" w:rsidRPr="005275AF" w:rsidTr="00363AB1">
        <w:trPr>
          <w:cantSplit/>
        </w:trPr>
        <w:tc>
          <w:tcPr>
            <w:tcW w:w="2344" w:type="pct"/>
            <w:tcBorders>
              <w:top w:val="single" w:sz="4" w:space="0" w:color="auto"/>
              <w:left w:val="nil"/>
              <w:bottom w:val="single" w:sz="4" w:space="0" w:color="auto"/>
              <w:right w:val="single" w:sz="4" w:space="0" w:color="A6A6A6" w:themeColor="background1" w:themeShade="A6"/>
            </w:tcBorders>
            <w:shd w:val="clear" w:color="auto" w:fill="D9D9D9" w:themeFill="background1" w:themeFillShade="D9"/>
            <w:tcMar>
              <w:top w:w="0" w:type="dxa"/>
              <w:left w:w="57" w:type="dxa"/>
              <w:bottom w:w="0" w:type="dxa"/>
              <w:right w:w="57" w:type="dxa"/>
            </w:tcMar>
          </w:tcPr>
          <w:p w:rsidR="00387AF6" w:rsidRPr="00E93A4A" w:rsidRDefault="00387AF6" w:rsidP="00E93A4A">
            <w:pPr>
              <w:pStyle w:val="TableText"/>
              <w:widowControl w:val="0"/>
            </w:pPr>
          </w:p>
        </w:tc>
        <w:tc>
          <w:tcPr>
            <w:tcW w:w="550" w:type="pct"/>
            <w:tcBorders>
              <w:top w:val="single" w:sz="4" w:space="0" w:color="auto"/>
              <w:left w:val="single" w:sz="4" w:space="0" w:color="A6A6A6" w:themeColor="background1" w:themeShade="A6"/>
              <w:bottom w:val="single" w:sz="4" w:space="0" w:color="auto"/>
              <w:right w:val="nil"/>
            </w:tcBorders>
            <w:shd w:val="clear" w:color="auto" w:fill="D9D9D9" w:themeFill="background1" w:themeFillShade="D9"/>
          </w:tcPr>
          <w:p w:rsidR="00387AF6" w:rsidRPr="00E93A4A" w:rsidRDefault="00387AF6" w:rsidP="00E93A4A">
            <w:pPr>
              <w:pStyle w:val="TableText"/>
              <w:widowControl w:val="0"/>
              <w:spacing w:before="0"/>
              <w:jc w:val="right"/>
            </w:pPr>
            <w:r w:rsidRPr="00E93A4A">
              <w:t>NCGMs</w:t>
            </w:r>
          </w:p>
        </w:tc>
        <w:tc>
          <w:tcPr>
            <w:tcW w:w="733" w:type="pct"/>
            <w:tcBorders>
              <w:top w:val="single" w:sz="4" w:space="0" w:color="auto"/>
              <w:left w:val="nil"/>
              <w:bottom w:val="single" w:sz="4" w:space="0" w:color="auto"/>
              <w:right w:val="nil"/>
            </w:tcBorders>
            <w:shd w:val="clear" w:color="auto" w:fill="D9D9D9" w:themeFill="background1" w:themeFillShade="D9"/>
          </w:tcPr>
          <w:p w:rsidR="00387AF6" w:rsidRPr="00E93A4A" w:rsidRDefault="00387AF6" w:rsidP="00E93A4A">
            <w:pPr>
              <w:pStyle w:val="TableText"/>
              <w:widowControl w:val="0"/>
              <w:spacing w:before="0"/>
              <w:jc w:val="right"/>
            </w:pPr>
            <w:r w:rsidRPr="00E93A4A">
              <w:t>Casinos</w:t>
            </w:r>
            <w:r w:rsidR="005C7F55">
              <w:t xml:space="preserve"> </w:t>
            </w:r>
          </w:p>
        </w:tc>
        <w:tc>
          <w:tcPr>
            <w:tcW w:w="641" w:type="pct"/>
            <w:tcBorders>
              <w:top w:val="single" w:sz="4" w:space="0" w:color="auto"/>
              <w:left w:val="nil"/>
              <w:bottom w:val="single" w:sz="4" w:space="0" w:color="auto"/>
              <w:right w:val="nil"/>
            </w:tcBorders>
            <w:shd w:val="clear" w:color="auto" w:fill="D9D9D9" w:themeFill="background1" w:themeFillShade="D9"/>
          </w:tcPr>
          <w:p w:rsidR="00387AF6" w:rsidRPr="00E93A4A" w:rsidRDefault="00387AF6" w:rsidP="00E93A4A">
            <w:pPr>
              <w:pStyle w:val="TableText"/>
              <w:widowControl w:val="0"/>
              <w:spacing w:before="0"/>
              <w:jc w:val="right"/>
            </w:pPr>
            <w:r w:rsidRPr="00E93A4A">
              <w:t>NZRB</w:t>
            </w:r>
          </w:p>
        </w:tc>
        <w:tc>
          <w:tcPr>
            <w:tcW w:w="733" w:type="pct"/>
            <w:tcBorders>
              <w:top w:val="single" w:sz="4" w:space="0" w:color="auto"/>
              <w:left w:val="nil"/>
              <w:bottom w:val="single" w:sz="4" w:space="0" w:color="auto"/>
              <w:right w:val="nil"/>
            </w:tcBorders>
            <w:shd w:val="clear" w:color="auto" w:fill="D9D9D9" w:themeFill="background1" w:themeFillShade="D9"/>
          </w:tcPr>
          <w:p w:rsidR="00387AF6" w:rsidRPr="00E93A4A" w:rsidRDefault="00387AF6" w:rsidP="00E93A4A">
            <w:pPr>
              <w:pStyle w:val="TableText"/>
              <w:widowControl w:val="0"/>
              <w:spacing w:before="0"/>
              <w:jc w:val="right"/>
            </w:pPr>
            <w:r w:rsidRPr="00E93A4A">
              <w:t>NZLC</w:t>
            </w:r>
          </w:p>
        </w:tc>
      </w:tr>
      <w:tr w:rsidR="00EB0A59" w:rsidRPr="005275AF" w:rsidTr="00363AB1">
        <w:trPr>
          <w:cantSplit/>
        </w:trPr>
        <w:tc>
          <w:tcPr>
            <w:tcW w:w="2344" w:type="pct"/>
            <w:tcBorders>
              <w:top w:val="single" w:sz="4" w:space="0" w:color="auto"/>
              <w:left w:val="nil"/>
              <w:right w:val="single" w:sz="4" w:space="0" w:color="A6A6A6" w:themeColor="background1" w:themeShade="A6"/>
            </w:tcBorders>
            <w:shd w:val="clear" w:color="auto" w:fill="auto"/>
            <w:noWrap/>
            <w:tcMar>
              <w:top w:w="0" w:type="dxa"/>
              <w:left w:w="57" w:type="dxa"/>
              <w:bottom w:w="0" w:type="dxa"/>
              <w:right w:w="57" w:type="dxa"/>
            </w:tcMar>
          </w:tcPr>
          <w:p w:rsidR="00387AF6" w:rsidRPr="00E93A4A" w:rsidRDefault="00387AF6" w:rsidP="00E93A4A">
            <w:pPr>
              <w:pStyle w:val="TableText"/>
              <w:widowControl w:val="0"/>
            </w:pPr>
            <w:r w:rsidRPr="00E93A4A">
              <w:t>Sector levy rates (%)</w:t>
            </w:r>
          </w:p>
        </w:tc>
        <w:tc>
          <w:tcPr>
            <w:tcW w:w="550" w:type="pct"/>
            <w:tcBorders>
              <w:top w:val="single" w:sz="4" w:space="0" w:color="auto"/>
              <w:left w:val="single" w:sz="4" w:space="0" w:color="A6A6A6" w:themeColor="background1" w:themeShade="A6"/>
              <w:right w:val="nil"/>
            </w:tcBorders>
          </w:tcPr>
          <w:p w:rsidR="00387AF6" w:rsidRPr="00E93A4A" w:rsidRDefault="00387AF6" w:rsidP="00E93A4A">
            <w:pPr>
              <w:pStyle w:val="TableText"/>
              <w:widowControl w:val="0"/>
              <w:jc w:val="right"/>
            </w:pPr>
            <w:r w:rsidRPr="00E93A4A">
              <w:t>0.78</w:t>
            </w:r>
          </w:p>
        </w:tc>
        <w:tc>
          <w:tcPr>
            <w:tcW w:w="733" w:type="pct"/>
            <w:tcBorders>
              <w:top w:val="single" w:sz="4" w:space="0" w:color="auto"/>
              <w:left w:val="nil"/>
              <w:right w:val="nil"/>
            </w:tcBorders>
          </w:tcPr>
          <w:p w:rsidR="00387AF6" w:rsidRPr="00E93A4A" w:rsidRDefault="00387AF6" w:rsidP="00E93A4A">
            <w:pPr>
              <w:pStyle w:val="TableText"/>
              <w:widowControl w:val="0"/>
              <w:jc w:val="right"/>
            </w:pPr>
            <w:r w:rsidRPr="00E93A4A">
              <w:t>0.56</w:t>
            </w:r>
          </w:p>
        </w:tc>
        <w:tc>
          <w:tcPr>
            <w:tcW w:w="641" w:type="pct"/>
            <w:tcBorders>
              <w:top w:val="single" w:sz="4" w:space="0" w:color="auto"/>
              <w:left w:val="nil"/>
              <w:right w:val="nil"/>
            </w:tcBorders>
          </w:tcPr>
          <w:p w:rsidR="00387AF6" w:rsidRPr="00E93A4A" w:rsidRDefault="00387AF6" w:rsidP="00E93A4A">
            <w:pPr>
              <w:pStyle w:val="TableText"/>
              <w:widowControl w:val="0"/>
              <w:jc w:val="right"/>
            </w:pPr>
            <w:r w:rsidRPr="00E93A4A">
              <w:t>0.</w:t>
            </w:r>
            <w:r w:rsidR="005275AF" w:rsidRPr="00E93A4A">
              <w:t>52</w:t>
            </w:r>
          </w:p>
        </w:tc>
        <w:tc>
          <w:tcPr>
            <w:tcW w:w="733" w:type="pct"/>
            <w:tcBorders>
              <w:top w:val="single" w:sz="4" w:space="0" w:color="auto"/>
              <w:left w:val="nil"/>
              <w:right w:val="nil"/>
            </w:tcBorders>
          </w:tcPr>
          <w:p w:rsidR="00387AF6" w:rsidRPr="00E93A4A" w:rsidRDefault="00387AF6" w:rsidP="00E93A4A">
            <w:pPr>
              <w:pStyle w:val="TableText"/>
              <w:widowControl w:val="0"/>
              <w:jc w:val="right"/>
            </w:pPr>
            <w:r w:rsidRPr="00E93A4A">
              <w:t>0.43</w:t>
            </w:r>
          </w:p>
        </w:tc>
      </w:tr>
      <w:tr w:rsidR="00EB0A59" w:rsidRPr="005275AF" w:rsidTr="00C60144">
        <w:trPr>
          <w:cantSplit/>
        </w:trPr>
        <w:tc>
          <w:tcPr>
            <w:tcW w:w="2344" w:type="pct"/>
            <w:tcBorders>
              <w:left w:val="nil"/>
              <w:right w:val="single" w:sz="4" w:space="0" w:color="A6A6A6" w:themeColor="background1" w:themeShade="A6"/>
            </w:tcBorders>
            <w:shd w:val="clear" w:color="auto" w:fill="auto"/>
            <w:noWrap/>
            <w:tcMar>
              <w:top w:w="0" w:type="dxa"/>
              <w:left w:w="57" w:type="dxa"/>
              <w:bottom w:w="0" w:type="dxa"/>
              <w:right w:w="57" w:type="dxa"/>
            </w:tcMar>
          </w:tcPr>
          <w:p w:rsidR="00387AF6" w:rsidRPr="00E93A4A" w:rsidRDefault="00387AF6" w:rsidP="00E93A4A">
            <w:pPr>
              <w:pStyle w:val="TableText"/>
              <w:widowControl w:val="0"/>
            </w:pPr>
            <w:r w:rsidRPr="00E93A4A">
              <w:t>Expected levy payment ($m)</w:t>
            </w:r>
          </w:p>
        </w:tc>
        <w:tc>
          <w:tcPr>
            <w:tcW w:w="550" w:type="pct"/>
            <w:tcBorders>
              <w:left w:val="single" w:sz="4" w:space="0" w:color="A6A6A6" w:themeColor="background1" w:themeShade="A6"/>
              <w:bottom w:val="single" w:sz="4" w:space="0" w:color="A6A6A6" w:themeColor="background1" w:themeShade="A6"/>
              <w:right w:val="nil"/>
            </w:tcBorders>
          </w:tcPr>
          <w:p w:rsidR="00387AF6" w:rsidRPr="00E93A4A" w:rsidRDefault="00387AF6" w:rsidP="00E93A4A">
            <w:pPr>
              <w:pStyle w:val="TableText"/>
              <w:widowControl w:val="0"/>
              <w:jc w:val="right"/>
            </w:pPr>
            <w:r w:rsidRPr="00E93A4A">
              <w:t>22.967</w:t>
            </w:r>
          </w:p>
        </w:tc>
        <w:tc>
          <w:tcPr>
            <w:tcW w:w="733" w:type="pct"/>
            <w:tcBorders>
              <w:left w:val="nil"/>
              <w:bottom w:val="single" w:sz="4" w:space="0" w:color="A6A6A6" w:themeColor="background1" w:themeShade="A6"/>
              <w:right w:val="nil"/>
            </w:tcBorders>
          </w:tcPr>
          <w:p w:rsidR="00387AF6" w:rsidRPr="00E93A4A" w:rsidRDefault="00387AF6" w:rsidP="00E93A4A">
            <w:pPr>
              <w:pStyle w:val="TableText"/>
              <w:widowControl w:val="0"/>
              <w:jc w:val="right"/>
            </w:pPr>
            <w:r w:rsidRPr="00E93A4A">
              <w:t>11.213</w:t>
            </w:r>
          </w:p>
        </w:tc>
        <w:tc>
          <w:tcPr>
            <w:tcW w:w="641" w:type="pct"/>
            <w:tcBorders>
              <w:left w:val="nil"/>
              <w:bottom w:val="single" w:sz="4" w:space="0" w:color="A6A6A6" w:themeColor="background1" w:themeShade="A6"/>
              <w:right w:val="nil"/>
            </w:tcBorders>
          </w:tcPr>
          <w:p w:rsidR="00387AF6" w:rsidRPr="00E93A4A" w:rsidRDefault="00387AF6" w:rsidP="004A1509">
            <w:pPr>
              <w:pStyle w:val="TableText"/>
              <w:widowControl w:val="0"/>
              <w:jc w:val="right"/>
            </w:pPr>
            <w:r w:rsidRPr="00E93A4A">
              <w:t>6.</w:t>
            </w:r>
            <w:r w:rsidR="004A1509">
              <w:t>174</w:t>
            </w:r>
          </w:p>
        </w:tc>
        <w:tc>
          <w:tcPr>
            <w:tcW w:w="733" w:type="pct"/>
            <w:tcBorders>
              <w:left w:val="nil"/>
              <w:bottom w:val="single" w:sz="4" w:space="0" w:color="A6A6A6" w:themeColor="background1" w:themeShade="A6"/>
              <w:right w:val="nil"/>
            </w:tcBorders>
          </w:tcPr>
          <w:p w:rsidR="00387AF6" w:rsidRPr="00E93A4A" w:rsidRDefault="00387AF6" w:rsidP="00E93A4A">
            <w:pPr>
              <w:pStyle w:val="TableText"/>
              <w:widowControl w:val="0"/>
              <w:jc w:val="right"/>
            </w:pPr>
            <w:r w:rsidRPr="00E93A4A">
              <w:t>7.906</w:t>
            </w:r>
          </w:p>
        </w:tc>
      </w:tr>
      <w:tr w:rsidR="00EB0A59" w:rsidRPr="005275AF" w:rsidTr="00C60144">
        <w:trPr>
          <w:cantSplit/>
        </w:trPr>
        <w:tc>
          <w:tcPr>
            <w:tcW w:w="2344" w:type="pct"/>
            <w:tcBorders>
              <w:left w:val="nil"/>
              <w:right w:val="single" w:sz="4" w:space="0" w:color="A6A6A6" w:themeColor="background1" w:themeShade="A6"/>
            </w:tcBorders>
            <w:shd w:val="clear" w:color="auto" w:fill="auto"/>
            <w:noWrap/>
            <w:tcMar>
              <w:top w:w="0" w:type="dxa"/>
              <w:left w:w="57" w:type="dxa"/>
              <w:bottom w:w="0" w:type="dxa"/>
              <w:right w:w="57" w:type="dxa"/>
            </w:tcMar>
          </w:tcPr>
          <w:p w:rsidR="005275AF" w:rsidRPr="00E93A4A" w:rsidRDefault="005275AF" w:rsidP="00E93A4A">
            <w:pPr>
              <w:pStyle w:val="TableText"/>
              <w:widowControl w:val="0"/>
            </w:pPr>
            <w:r w:rsidRPr="00E93A4A">
              <w:t>Share of total expected levy amount</w:t>
            </w:r>
          </w:p>
        </w:tc>
        <w:tc>
          <w:tcPr>
            <w:tcW w:w="550" w:type="pct"/>
            <w:tcBorders>
              <w:top w:val="single" w:sz="4" w:space="0" w:color="A6A6A6" w:themeColor="background1" w:themeShade="A6"/>
              <w:left w:val="nil"/>
              <w:bottom w:val="single" w:sz="4" w:space="0" w:color="A6A6A6" w:themeColor="background1" w:themeShade="A6"/>
              <w:right w:val="nil"/>
            </w:tcBorders>
            <w:shd w:val="clear" w:color="000000" w:fill="FFFFFF"/>
            <w:vAlign w:val="bottom"/>
          </w:tcPr>
          <w:p w:rsidR="005275AF" w:rsidRPr="00E93A4A" w:rsidRDefault="005275AF" w:rsidP="00E93A4A">
            <w:pPr>
              <w:pStyle w:val="TableText"/>
              <w:widowControl w:val="0"/>
              <w:jc w:val="right"/>
            </w:pPr>
            <w:r w:rsidRPr="00E93A4A">
              <w:t>47.59%</w:t>
            </w:r>
          </w:p>
        </w:tc>
        <w:tc>
          <w:tcPr>
            <w:tcW w:w="733" w:type="pct"/>
            <w:tcBorders>
              <w:top w:val="single" w:sz="4" w:space="0" w:color="A6A6A6" w:themeColor="background1" w:themeShade="A6"/>
              <w:left w:val="nil"/>
              <w:bottom w:val="single" w:sz="4" w:space="0" w:color="A6A6A6" w:themeColor="background1" w:themeShade="A6"/>
              <w:right w:val="nil"/>
            </w:tcBorders>
            <w:shd w:val="clear" w:color="000000" w:fill="FFFFFF"/>
            <w:vAlign w:val="bottom"/>
          </w:tcPr>
          <w:p w:rsidR="005275AF" w:rsidRPr="00E93A4A" w:rsidRDefault="005275AF" w:rsidP="00E93A4A">
            <w:pPr>
              <w:pStyle w:val="TableText"/>
              <w:widowControl w:val="0"/>
              <w:jc w:val="right"/>
            </w:pPr>
            <w:r w:rsidRPr="00E93A4A">
              <w:t>23.23%</w:t>
            </w:r>
          </w:p>
        </w:tc>
        <w:tc>
          <w:tcPr>
            <w:tcW w:w="641" w:type="pct"/>
            <w:tcBorders>
              <w:top w:val="single" w:sz="4" w:space="0" w:color="A6A6A6" w:themeColor="background1" w:themeShade="A6"/>
              <w:left w:val="nil"/>
              <w:bottom w:val="single" w:sz="4" w:space="0" w:color="A6A6A6" w:themeColor="background1" w:themeShade="A6"/>
              <w:right w:val="nil"/>
            </w:tcBorders>
            <w:shd w:val="clear" w:color="000000" w:fill="FFFFFF"/>
            <w:vAlign w:val="bottom"/>
          </w:tcPr>
          <w:p w:rsidR="005275AF" w:rsidRPr="00E93A4A" w:rsidRDefault="005275AF" w:rsidP="00E93A4A">
            <w:pPr>
              <w:pStyle w:val="TableText"/>
              <w:widowControl w:val="0"/>
              <w:jc w:val="right"/>
            </w:pPr>
            <w:r w:rsidRPr="00E93A4A">
              <w:t>12.79%</w:t>
            </w:r>
          </w:p>
        </w:tc>
        <w:tc>
          <w:tcPr>
            <w:tcW w:w="733" w:type="pct"/>
            <w:tcBorders>
              <w:top w:val="single" w:sz="4" w:space="0" w:color="A6A6A6" w:themeColor="background1" w:themeShade="A6"/>
              <w:left w:val="nil"/>
              <w:bottom w:val="single" w:sz="4" w:space="0" w:color="A6A6A6" w:themeColor="background1" w:themeShade="A6"/>
              <w:right w:val="nil"/>
            </w:tcBorders>
            <w:shd w:val="clear" w:color="000000" w:fill="FFFFFF"/>
            <w:vAlign w:val="bottom"/>
          </w:tcPr>
          <w:p w:rsidR="005275AF" w:rsidRPr="00E93A4A" w:rsidRDefault="005275AF" w:rsidP="00E93A4A">
            <w:pPr>
              <w:pStyle w:val="TableText"/>
              <w:widowControl w:val="0"/>
              <w:jc w:val="right"/>
            </w:pPr>
            <w:r w:rsidRPr="00E93A4A">
              <w:t>16.38%</w:t>
            </w:r>
          </w:p>
        </w:tc>
      </w:tr>
      <w:tr w:rsidR="00EB0A59" w:rsidRPr="005275AF" w:rsidTr="00C60144">
        <w:trPr>
          <w:cantSplit/>
        </w:trPr>
        <w:tc>
          <w:tcPr>
            <w:tcW w:w="2344" w:type="pct"/>
            <w:tcBorders>
              <w:left w:val="nil"/>
              <w:bottom w:val="single" w:sz="4" w:space="0" w:color="auto"/>
              <w:right w:val="single" w:sz="4" w:space="0" w:color="A6A6A6" w:themeColor="background1" w:themeShade="A6"/>
            </w:tcBorders>
            <w:shd w:val="clear" w:color="auto" w:fill="auto"/>
            <w:noWrap/>
            <w:tcMar>
              <w:top w:w="0" w:type="dxa"/>
              <w:left w:w="57" w:type="dxa"/>
              <w:bottom w:w="0" w:type="dxa"/>
              <w:right w:w="57" w:type="dxa"/>
            </w:tcMar>
          </w:tcPr>
          <w:p w:rsidR="005275AF" w:rsidRPr="00E93A4A" w:rsidRDefault="005275AF" w:rsidP="00E93A4A">
            <w:pPr>
              <w:pStyle w:val="TableText"/>
              <w:widowControl w:val="0"/>
            </w:pPr>
            <w:r w:rsidRPr="00E93A4A">
              <w:t xml:space="preserve">Share of budget (C) </w:t>
            </w:r>
          </w:p>
        </w:tc>
        <w:tc>
          <w:tcPr>
            <w:tcW w:w="550" w:type="pct"/>
            <w:tcBorders>
              <w:top w:val="single" w:sz="4" w:space="0" w:color="A6A6A6" w:themeColor="background1" w:themeShade="A6"/>
              <w:left w:val="nil"/>
              <w:bottom w:val="single" w:sz="4" w:space="0" w:color="auto"/>
              <w:right w:val="nil"/>
            </w:tcBorders>
            <w:shd w:val="clear" w:color="000000" w:fill="FFFFFF"/>
            <w:vAlign w:val="bottom"/>
          </w:tcPr>
          <w:p w:rsidR="005275AF" w:rsidRPr="00E93A4A" w:rsidRDefault="005275AF" w:rsidP="00E93A4A">
            <w:pPr>
              <w:pStyle w:val="TableText"/>
              <w:widowControl w:val="0"/>
              <w:jc w:val="right"/>
            </w:pPr>
            <w:r w:rsidRPr="00E93A4A">
              <w:t>48.46%</w:t>
            </w:r>
          </w:p>
        </w:tc>
        <w:tc>
          <w:tcPr>
            <w:tcW w:w="733" w:type="pct"/>
            <w:tcBorders>
              <w:top w:val="single" w:sz="4" w:space="0" w:color="A6A6A6" w:themeColor="background1" w:themeShade="A6"/>
              <w:left w:val="nil"/>
              <w:bottom w:val="single" w:sz="4" w:space="0" w:color="auto"/>
              <w:right w:val="nil"/>
            </w:tcBorders>
            <w:shd w:val="clear" w:color="000000" w:fill="FFFFFF"/>
            <w:vAlign w:val="bottom"/>
          </w:tcPr>
          <w:p w:rsidR="005275AF" w:rsidRPr="00E93A4A" w:rsidRDefault="005275AF" w:rsidP="00E93A4A">
            <w:pPr>
              <w:pStyle w:val="TableText"/>
              <w:widowControl w:val="0"/>
              <w:jc w:val="right"/>
            </w:pPr>
            <w:r w:rsidRPr="00E93A4A">
              <w:t>23.34%</w:t>
            </w:r>
          </w:p>
        </w:tc>
        <w:tc>
          <w:tcPr>
            <w:tcW w:w="641" w:type="pct"/>
            <w:tcBorders>
              <w:top w:val="single" w:sz="4" w:space="0" w:color="A6A6A6" w:themeColor="background1" w:themeShade="A6"/>
              <w:left w:val="nil"/>
              <w:bottom w:val="single" w:sz="4" w:space="0" w:color="auto"/>
              <w:right w:val="nil"/>
            </w:tcBorders>
            <w:shd w:val="clear" w:color="000000" w:fill="FFFFFF"/>
            <w:vAlign w:val="bottom"/>
          </w:tcPr>
          <w:p w:rsidR="005275AF" w:rsidRPr="00E93A4A" w:rsidRDefault="005275AF" w:rsidP="00E93A4A">
            <w:pPr>
              <w:pStyle w:val="TableText"/>
              <w:widowControl w:val="0"/>
              <w:jc w:val="right"/>
            </w:pPr>
            <w:r w:rsidRPr="00E93A4A">
              <w:t>11.81%</w:t>
            </w:r>
          </w:p>
        </w:tc>
        <w:tc>
          <w:tcPr>
            <w:tcW w:w="733" w:type="pct"/>
            <w:tcBorders>
              <w:top w:val="single" w:sz="4" w:space="0" w:color="A6A6A6" w:themeColor="background1" w:themeShade="A6"/>
              <w:left w:val="nil"/>
              <w:bottom w:val="single" w:sz="4" w:space="0" w:color="auto"/>
              <w:right w:val="nil"/>
            </w:tcBorders>
            <w:shd w:val="clear" w:color="000000" w:fill="FFFFFF"/>
            <w:vAlign w:val="bottom"/>
          </w:tcPr>
          <w:p w:rsidR="005275AF" w:rsidRPr="00E93A4A" w:rsidRDefault="005275AF" w:rsidP="00E93A4A">
            <w:pPr>
              <w:pStyle w:val="TableText"/>
              <w:widowControl w:val="0"/>
              <w:jc w:val="right"/>
            </w:pPr>
            <w:r w:rsidRPr="00E93A4A">
              <w:t>16.39%</w:t>
            </w:r>
          </w:p>
        </w:tc>
      </w:tr>
    </w:tbl>
    <w:p w:rsidR="006D54E1" w:rsidRDefault="006D54E1" w:rsidP="00E93A4A">
      <w:pPr>
        <w:widowControl w:val="0"/>
      </w:pPr>
      <w:bookmarkStart w:id="305" w:name="_Toc329860066"/>
      <w:bookmarkStart w:id="306" w:name="_Toc517090916"/>
      <w:bookmarkStart w:id="307" w:name="_Toc530487422"/>
    </w:p>
    <w:p w:rsidR="0088150A" w:rsidRPr="00F776F5" w:rsidRDefault="0088150A" w:rsidP="00F776F5">
      <w:pPr>
        <w:pStyle w:val="Heading1"/>
        <w:numPr>
          <w:ilvl w:val="0"/>
          <w:numId w:val="0"/>
        </w:numPr>
        <w:ind w:left="992" w:hanging="992"/>
        <w:rPr>
          <w:rFonts w:ascii="Segoe UI" w:hAnsi="Segoe UI" w:cs="Segoe UI"/>
          <w:b/>
        </w:rPr>
      </w:pPr>
      <w:bookmarkStart w:id="308" w:name="_Toc9239614"/>
      <w:r w:rsidRPr="00F776F5">
        <w:rPr>
          <w:rFonts w:ascii="Segoe UI" w:hAnsi="Segoe UI" w:cs="Segoe UI"/>
          <w:b/>
        </w:rPr>
        <w:lastRenderedPageBreak/>
        <w:t>References</w:t>
      </w:r>
      <w:bookmarkEnd w:id="305"/>
      <w:bookmarkEnd w:id="306"/>
      <w:bookmarkEnd w:id="307"/>
      <w:bookmarkEnd w:id="308"/>
    </w:p>
    <w:p w:rsidR="0088150A" w:rsidRPr="00CC6A26" w:rsidRDefault="0088150A" w:rsidP="00A008A7">
      <w:pPr>
        <w:pStyle w:val="References"/>
        <w:spacing w:after="140"/>
        <w:rPr>
          <w:noProof/>
        </w:rPr>
      </w:pPr>
      <w:r w:rsidRPr="00CC6A26">
        <w:rPr>
          <w:noProof/>
        </w:rPr>
        <w:t xml:space="preserve">Abbott M. 2017. Gambling and Gambling Harm in New Zealand: a 28-Year Case Study. </w:t>
      </w:r>
      <w:r w:rsidRPr="00CC6A26">
        <w:rPr>
          <w:i/>
          <w:noProof/>
        </w:rPr>
        <w:t>International Journal of Mental Health and Addiction</w:t>
      </w:r>
      <w:r>
        <w:rPr>
          <w:i/>
          <w:noProof/>
        </w:rPr>
        <w:t xml:space="preserve"> </w:t>
      </w:r>
      <w:r w:rsidRPr="0099629C">
        <w:rPr>
          <w:noProof/>
        </w:rPr>
        <w:t>15(1221)</w:t>
      </w:r>
      <w:r w:rsidRPr="00CC6A26">
        <w:rPr>
          <w:noProof/>
        </w:rPr>
        <w:t>.</w:t>
      </w:r>
    </w:p>
    <w:p w:rsidR="0088150A" w:rsidRDefault="0088150A" w:rsidP="00A008A7">
      <w:pPr>
        <w:pStyle w:val="References"/>
        <w:spacing w:after="140"/>
        <w:rPr>
          <w:rFonts w:cs="Segoe UI"/>
          <w:szCs w:val="21"/>
          <w:lang w:eastAsia="en-NZ"/>
        </w:rPr>
      </w:pPr>
      <w:r w:rsidRPr="0099629C">
        <w:rPr>
          <w:rFonts w:cs="Segoe UI"/>
          <w:szCs w:val="21"/>
          <w:lang w:eastAsia="en-NZ"/>
        </w:rPr>
        <w:t xml:space="preserve">Abbott M, Bellringer M, Garrett N. 2018. </w:t>
      </w:r>
      <w:r w:rsidRPr="0099629C">
        <w:rPr>
          <w:rFonts w:cs="Segoe UI"/>
          <w:i/>
          <w:szCs w:val="21"/>
          <w:lang w:eastAsia="en-NZ"/>
        </w:rPr>
        <w:t>New Zealand National Gambling Study: Wave</w:t>
      </w:r>
      <w:r w:rsidR="0041794A">
        <w:rPr>
          <w:rFonts w:cs="Segoe UI"/>
          <w:i/>
          <w:szCs w:val="21"/>
          <w:lang w:eastAsia="en-NZ"/>
        </w:rPr>
        <w:t> </w:t>
      </w:r>
      <w:r w:rsidRPr="0099629C">
        <w:rPr>
          <w:rFonts w:cs="Segoe UI"/>
          <w:i/>
          <w:szCs w:val="21"/>
          <w:lang w:eastAsia="en-NZ"/>
        </w:rPr>
        <w:t>4 (2015). Report number 6.</w:t>
      </w:r>
      <w:r w:rsidRPr="0099629C">
        <w:rPr>
          <w:rFonts w:cs="Segoe UI"/>
          <w:szCs w:val="21"/>
          <w:lang w:eastAsia="en-NZ"/>
        </w:rPr>
        <w:t xml:space="preserve"> Auckland: Auckland University of Technology, Gambling and Addictions Research Centre.</w:t>
      </w:r>
    </w:p>
    <w:p w:rsidR="00A02EAD" w:rsidRPr="0099629C" w:rsidRDefault="00A02EAD" w:rsidP="00A008A7">
      <w:pPr>
        <w:pStyle w:val="References"/>
        <w:spacing w:after="140"/>
        <w:rPr>
          <w:rFonts w:cs="Segoe UI"/>
          <w:szCs w:val="21"/>
          <w:lang w:eastAsia="en-NZ"/>
        </w:rPr>
      </w:pPr>
      <w:r w:rsidRPr="00811C75">
        <w:rPr>
          <w:lang w:eastAsia="en-NZ"/>
        </w:rPr>
        <w:t xml:space="preserve">Auckland University of Technology. 2017. </w:t>
      </w:r>
      <w:r w:rsidRPr="003608D7">
        <w:rPr>
          <w:i/>
          <w:lang w:eastAsia="en-NZ"/>
        </w:rPr>
        <w:t>Problem Gambling and Family Violence in Help-</w:t>
      </w:r>
      <w:r>
        <w:rPr>
          <w:i/>
          <w:lang w:eastAsia="en-NZ"/>
        </w:rPr>
        <w:t>s</w:t>
      </w:r>
      <w:r w:rsidRPr="003608D7">
        <w:rPr>
          <w:i/>
          <w:lang w:eastAsia="en-NZ"/>
        </w:rPr>
        <w:t>eeking Populations: Co-</w:t>
      </w:r>
      <w:r>
        <w:rPr>
          <w:i/>
          <w:lang w:eastAsia="en-NZ"/>
        </w:rPr>
        <w:t>o</w:t>
      </w:r>
      <w:r w:rsidRPr="003608D7">
        <w:rPr>
          <w:i/>
          <w:lang w:eastAsia="en-NZ"/>
        </w:rPr>
        <w:t>ccurrence, Impact and Coping</w:t>
      </w:r>
      <w:r w:rsidRPr="00811C75">
        <w:rPr>
          <w:lang w:eastAsia="en-NZ"/>
        </w:rPr>
        <w:t>. Wellington: Ministry of Health.</w:t>
      </w:r>
    </w:p>
    <w:p w:rsidR="0088150A" w:rsidRDefault="0088150A" w:rsidP="00A008A7">
      <w:pPr>
        <w:pStyle w:val="References"/>
        <w:spacing w:after="140"/>
      </w:pPr>
      <w:r w:rsidRPr="00295D21">
        <w:fldChar w:fldCharType="begin"/>
      </w:r>
      <w:r w:rsidRPr="00295D21">
        <w:instrText xml:space="preserve"> ADDIN EN.REFLIST </w:instrText>
      </w:r>
      <w:r w:rsidRPr="00295D21">
        <w:fldChar w:fldCharType="separate"/>
      </w:r>
      <w:bookmarkStart w:id="309" w:name="_ENREF_4"/>
      <w:r>
        <w:rPr>
          <w:noProof/>
        </w:rPr>
        <w:t xml:space="preserve">Bellringer M, Garrett N, Kolandai-Matchett K, et al. 2015. </w:t>
      </w:r>
      <w:r>
        <w:rPr>
          <w:i/>
          <w:noProof/>
        </w:rPr>
        <w:t xml:space="preserve">Offshore Gambling by New Zealanders Study: Final report, 11 September 2015. </w:t>
      </w:r>
      <w:r>
        <w:rPr>
          <w:noProof/>
        </w:rPr>
        <w:t xml:space="preserve">Wellington: Ministry of Health. URL: </w:t>
      </w:r>
      <w:r w:rsidRPr="00414699">
        <w:t>www.health.govt.nz/our-work/mental-health-and-addictions/problem-gambling/research-and-evaluation/implementation-2013-2014-2015-2016/offshore-gambling-new-zealanders-study</w:t>
      </w:r>
      <w:r>
        <w:t xml:space="preserve"> (accessed 9 June 2018).</w:t>
      </w:r>
    </w:p>
    <w:p w:rsidR="0088150A" w:rsidRPr="0051559D" w:rsidRDefault="0088150A" w:rsidP="00A008A7">
      <w:pPr>
        <w:pStyle w:val="References"/>
        <w:spacing w:after="140"/>
        <w:rPr>
          <w:noProof/>
        </w:rPr>
      </w:pPr>
      <w:r w:rsidRPr="003C32A5">
        <w:t xml:space="preserve">Bellringer M, Kolandai-Matchett K, Taylor S, et al. 2016. </w:t>
      </w:r>
      <w:r w:rsidRPr="003C32A5">
        <w:rPr>
          <w:i/>
        </w:rPr>
        <w:t>Pacific Islands Families Study 2014: Mother and youth gambling</w:t>
      </w:r>
      <w:r w:rsidRPr="003C32A5">
        <w:t>. Auckland: Auckland University of Technology, Gambling and Addictions Research Centre.</w:t>
      </w:r>
    </w:p>
    <w:p w:rsidR="0088150A" w:rsidRPr="00295D21" w:rsidRDefault="0088150A" w:rsidP="00A008A7">
      <w:pPr>
        <w:pStyle w:val="References"/>
        <w:spacing w:after="140"/>
        <w:rPr>
          <w:noProof/>
        </w:rPr>
      </w:pPr>
      <w:bookmarkStart w:id="310" w:name="_ENREF_5"/>
      <w:bookmarkEnd w:id="309"/>
      <w:r w:rsidRPr="00295D21">
        <w:rPr>
          <w:noProof/>
        </w:rPr>
        <w:t xml:space="preserve">Canale N, Vieno A, Lenzi M, et al. 2017. Income </w:t>
      </w:r>
      <w:r>
        <w:rPr>
          <w:noProof/>
        </w:rPr>
        <w:t>i</w:t>
      </w:r>
      <w:r w:rsidRPr="00295D21">
        <w:rPr>
          <w:noProof/>
        </w:rPr>
        <w:t xml:space="preserve">nequality and </w:t>
      </w:r>
      <w:r>
        <w:rPr>
          <w:noProof/>
        </w:rPr>
        <w:t>a</w:t>
      </w:r>
      <w:r w:rsidRPr="00295D21">
        <w:rPr>
          <w:noProof/>
        </w:rPr>
        <w:t xml:space="preserve">dolescent </w:t>
      </w:r>
      <w:r>
        <w:rPr>
          <w:noProof/>
        </w:rPr>
        <w:t>g</w:t>
      </w:r>
      <w:r w:rsidRPr="00295D21">
        <w:rPr>
          <w:noProof/>
        </w:rPr>
        <w:t xml:space="preserve">ambling </w:t>
      </w:r>
      <w:r>
        <w:rPr>
          <w:noProof/>
        </w:rPr>
        <w:t>s</w:t>
      </w:r>
      <w:r w:rsidRPr="00295D21">
        <w:rPr>
          <w:noProof/>
        </w:rPr>
        <w:t xml:space="preserve">everity: </w:t>
      </w:r>
      <w:r>
        <w:rPr>
          <w:noProof/>
        </w:rPr>
        <w:t>f</w:t>
      </w:r>
      <w:r w:rsidRPr="00295D21">
        <w:rPr>
          <w:noProof/>
        </w:rPr>
        <w:t xml:space="preserve">indings from a </w:t>
      </w:r>
      <w:r>
        <w:rPr>
          <w:noProof/>
        </w:rPr>
        <w:t>l</w:t>
      </w:r>
      <w:r w:rsidRPr="00295D21">
        <w:rPr>
          <w:noProof/>
        </w:rPr>
        <w:t>arge-</w:t>
      </w:r>
      <w:r>
        <w:rPr>
          <w:noProof/>
        </w:rPr>
        <w:t>s</w:t>
      </w:r>
      <w:r w:rsidRPr="00295D21">
        <w:rPr>
          <w:noProof/>
        </w:rPr>
        <w:t xml:space="preserve">cale Italian </w:t>
      </w:r>
      <w:r>
        <w:rPr>
          <w:noProof/>
        </w:rPr>
        <w:t>r</w:t>
      </w:r>
      <w:r w:rsidRPr="00295D21">
        <w:rPr>
          <w:noProof/>
        </w:rPr>
        <w:t xml:space="preserve">epresentative </w:t>
      </w:r>
      <w:r>
        <w:rPr>
          <w:noProof/>
        </w:rPr>
        <w:t>s</w:t>
      </w:r>
      <w:r w:rsidRPr="00295D21">
        <w:rPr>
          <w:noProof/>
        </w:rPr>
        <w:t xml:space="preserve">urvey. </w:t>
      </w:r>
      <w:r w:rsidRPr="00295D21">
        <w:rPr>
          <w:i/>
          <w:noProof/>
        </w:rPr>
        <w:t>Frontiers in Psychology</w:t>
      </w:r>
      <w:r w:rsidRPr="00295D21">
        <w:rPr>
          <w:noProof/>
        </w:rPr>
        <w:t xml:space="preserve"> 8: 1318.</w:t>
      </w:r>
    </w:p>
    <w:p w:rsidR="0088150A" w:rsidRPr="006B22B7" w:rsidRDefault="0088150A" w:rsidP="00A008A7">
      <w:pPr>
        <w:pStyle w:val="References"/>
        <w:spacing w:after="140"/>
        <w:rPr>
          <w:noProof/>
        </w:rPr>
      </w:pPr>
      <w:bookmarkStart w:id="311" w:name="_ENREF_7"/>
      <w:bookmarkEnd w:id="310"/>
      <w:r>
        <w:rPr>
          <w:noProof/>
        </w:rPr>
        <w:t xml:space="preserve">DAPAANZ. 2011. </w:t>
      </w:r>
      <w:r>
        <w:rPr>
          <w:i/>
          <w:noProof/>
        </w:rPr>
        <w:t xml:space="preserve">Addiction Intervention Competency Framework: A competency framework for professionals specialising in problem gambling, alcohol and other drug and smoking cessation intervention. </w:t>
      </w:r>
      <w:r>
        <w:rPr>
          <w:noProof/>
        </w:rPr>
        <w:t>Wellington: Addiction Practitioners</w:t>
      </w:r>
      <w:r w:rsidR="00A10EC0">
        <w:rPr>
          <w:noProof/>
        </w:rPr>
        <w:t>’</w:t>
      </w:r>
      <w:r>
        <w:rPr>
          <w:noProof/>
        </w:rPr>
        <w:t xml:space="preserve"> Association Aotearoa New Zealand.</w:t>
      </w:r>
    </w:p>
    <w:p w:rsidR="0088150A" w:rsidRDefault="0088150A" w:rsidP="00A008A7">
      <w:pPr>
        <w:pStyle w:val="References"/>
        <w:spacing w:after="140"/>
        <w:rPr>
          <w:noProof/>
        </w:rPr>
      </w:pPr>
      <w:r>
        <w:rPr>
          <w:noProof/>
        </w:rPr>
        <w:t xml:space="preserve">DIA. 2018. Gamblers spent $125 million more in FY 2016/17. Wellington: Department of Internal Affairs. URL: </w:t>
      </w:r>
      <w:r w:rsidRPr="00411A71">
        <w:rPr>
          <w:noProof/>
        </w:rPr>
        <w:t>www.dia.govt.nz/press.nsf/d77da9b523f12931cc256ac5000d19b6/4f9778fc3a2fed9dcc25823a00002b04!OpenDocument</w:t>
      </w:r>
      <w:r>
        <w:rPr>
          <w:noProof/>
        </w:rPr>
        <w:t xml:space="preserve"> (accessed 10 June 2018).</w:t>
      </w:r>
    </w:p>
    <w:p w:rsidR="0088150A" w:rsidRPr="0041794A" w:rsidRDefault="0088150A" w:rsidP="00A008A7">
      <w:pPr>
        <w:pStyle w:val="References"/>
        <w:spacing w:after="140"/>
      </w:pPr>
      <w:r w:rsidRPr="0041794A">
        <w:t>DIA</w:t>
      </w:r>
      <w:r w:rsidR="0041794A">
        <w:t>.</w:t>
      </w:r>
      <w:r w:rsidRPr="0041794A">
        <w:t xml:space="preserve"> 2018. </w:t>
      </w:r>
      <w:r w:rsidRPr="0041794A">
        <w:rPr>
          <w:i/>
        </w:rPr>
        <w:t>Gambling Expenditure Statistics</w:t>
      </w:r>
      <w:r w:rsidRPr="0041794A">
        <w:t xml:space="preserve">. URL: </w:t>
      </w:r>
      <w:hyperlink r:id="rId47" w:history="1">
        <w:r w:rsidRPr="0041794A">
          <w:t>www.dia.govt.nz/diawebsite.nsf/wpg_URL/Resource-material-Information-We-Provide-Gambling-Expenditure-Statistics</w:t>
        </w:r>
      </w:hyperlink>
      <w:r w:rsidRPr="0041794A">
        <w:t xml:space="preserve"> (accessed 16 November 2018).</w:t>
      </w:r>
    </w:p>
    <w:p w:rsidR="00525756" w:rsidRDefault="00525756" w:rsidP="00A008A7">
      <w:pPr>
        <w:pStyle w:val="References"/>
        <w:spacing w:after="140"/>
      </w:pPr>
      <w:r>
        <w:t xml:space="preserve">Gambling Commission New Zealand. 2009. </w:t>
      </w:r>
      <w:r w:rsidRPr="004D113C">
        <w:rPr>
          <w:i/>
        </w:rPr>
        <w:t>Report on the Proposed Problem Gambling Levy</w:t>
      </w:r>
      <w:r>
        <w:rPr>
          <w:i/>
        </w:rPr>
        <w:t xml:space="preserve"> </w:t>
      </w:r>
      <w:r w:rsidRPr="004D113C">
        <w:rPr>
          <w:i/>
        </w:rPr>
        <w:t>2010–2013</w:t>
      </w:r>
      <w:r>
        <w:rPr>
          <w:i/>
        </w:rPr>
        <w:t xml:space="preserve">. </w:t>
      </w:r>
      <w:r w:rsidRPr="004D113C">
        <w:t>Report to Ministers Hon Nathan Guy and Hon Peter Dunne, 25</w:t>
      </w:r>
      <w:r>
        <w:t> </w:t>
      </w:r>
      <w:r w:rsidRPr="004D113C">
        <w:t>November</w:t>
      </w:r>
      <w:r w:rsidRPr="00792FE4">
        <w:t>.</w:t>
      </w:r>
      <w:r>
        <w:t xml:space="preserve"> </w:t>
      </w:r>
      <w:hyperlink r:id="rId48" w:history="1">
        <w:r w:rsidRPr="00BE78D0">
          <w:t>URL: www.gamblingcommission.govt.nz/GCwebsite.nsf/wpg_URL/Reports-Publications-Proposed-Problem-Gambling-Levy-(November-2009)!OpenDocument</w:t>
        </w:r>
      </w:hyperlink>
      <w:r>
        <w:t xml:space="preserve"> (accessed 10 June 2018).</w:t>
      </w:r>
    </w:p>
    <w:p w:rsidR="00C36467" w:rsidRDefault="00C36467" w:rsidP="00A008A7">
      <w:pPr>
        <w:pStyle w:val="References"/>
        <w:spacing w:after="140"/>
      </w:pPr>
      <w:r>
        <w:t xml:space="preserve">Gambling Commission New Zealand. 2019. </w:t>
      </w:r>
      <w:r w:rsidRPr="004D113C">
        <w:rPr>
          <w:i/>
        </w:rPr>
        <w:t>Report on the Proposed Problem Gambling Levy</w:t>
      </w:r>
      <w:r>
        <w:rPr>
          <w:i/>
        </w:rPr>
        <w:t xml:space="preserve"> </w:t>
      </w:r>
      <w:r w:rsidRPr="004D113C">
        <w:rPr>
          <w:i/>
        </w:rPr>
        <w:t>201</w:t>
      </w:r>
      <w:r w:rsidR="00252A53">
        <w:rPr>
          <w:i/>
        </w:rPr>
        <w:t>9-2022</w:t>
      </w:r>
      <w:r>
        <w:rPr>
          <w:i/>
        </w:rPr>
        <w:t xml:space="preserve">. </w:t>
      </w:r>
      <w:r w:rsidRPr="004D113C">
        <w:t xml:space="preserve">Report to Ministers Hon </w:t>
      </w:r>
      <w:r>
        <w:t xml:space="preserve">Jenny Salesa and </w:t>
      </w:r>
      <w:r w:rsidRPr="004D113C">
        <w:t xml:space="preserve">Hon </w:t>
      </w:r>
      <w:r>
        <w:t>Tracey Martin, 13 February. URL</w:t>
      </w:r>
      <w:r w:rsidR="00525756">
        <w:t xml:space="preserve">: </w:t>
      </w:r>
      <w:r w:rsidR="00252A53" w:rsidRPr="00252A53">
        <w:t>www.gamblingcommission.govt.nz/GCwebsite.nsf/wpg_URL/Reports-Publications-Problem-Gambling-Levy-2019-2022!OpenDocument</w:t>
      </w:r>
      <w:r w:rsidR="00252A53">
        <w:t xml:space="preserve"> (accessed 14 February 2019)</w:t>
      </w:r>
      <w:r w:rsidR="00B175FD">
        <w:t>.</w:t>
      </w:r>
    </w:p>
    <w:p w:rsidR="00C07505" w:rsidRPr="00A008A7" w:rsidRDefault="00C07505" w:rsidP="00A008A7">
      <w:pPr>
        <w:pStyle w:val="References"/>
        <w:spacing w:after="140"/>
        <w:rPr>
          <w:i/>
        </w:rPr>
      </w:pPr>
      <w:r>
        <w:lastRenderedPageBreak/>
        <w:t xml:space="preserve">Government Inquiry into Mental Health and Addiction. 2018. </w:t>
      </w:r>
      <w:r>
        <w:rPr>
          <w:i/>
        </w:rPr>
        <w:t xml:space="preserve">He Ara Oranga: Report of the </w:t>
      </w:r>
      <w:r w:rsidRPr="00A008A7">
        <w:rPr>
          <w:i/>
        </w:rPr>
        <w:t>Government Inquiry into Mental Health and Addiction</w:t>
      </w:r>
      <w:r w:rsidR="008863A5">
        <w:rPr>
          <w:i/>
        </w:rPr>
        <w:t xml:space="preserve"> </w:t>
      </w:r>
      <w:r w:rsidR="008863A5">
        <w:t>Wellington:</w:t>
      </w:r>
      <w:r w:rsidR="008863A5" w:rsidRPr="008863A5">
        <w:t xml:space="preserve"> </w:t>
      </w:r>
      <w:r w:rsidR="008863A5">
        <w:t>Government Inquiry into Mental Health and Addiction</w:t>
      </w:r>
      <w:r w:rsidR="00BF4059">
        <w:t>.</w:t>
      </w:r>
    </w:p>
    <w:p w:rsidR="0088150A" w:rsidRDefault="0088150A" w:rsidP="00A008A7">
      <w:pPr>
        <w:pStyle w:val="References"/>
        <w:spacing w:after="140"/>
      </w:pPr>
      <w:r>
        <w:t xml:space="preserve">Health </w:t>
      </w:r>
      <w:r w:rsidR="00525756">
        <w:t xml:space="preserve">Quality &amp; </w:t>
      </w:r>
      <w:r>
        <w:t xml:space="preserve">Safety Commission. 2011. The Triple Aim. URL: </w:t>
      </w:r>
      <w:r w:rsidRPr="00BE78D0">
        <w:t>www.hqsc.govt.nz/news-and-events/news/126</w:t>
      </w:r>
      <w:r>
        <w:t xml:space="preserve"> (accessed 18 June 2018).</w:t>
      </w:r>
    </w:p>
    <w:p w:rsidR="0088150A" w:rsidRDefault="0088150A" w:rsidP="00A008A7">
      <w:pPr>
        <w:pStyle w:val="References"/>
        <w:spacing w:after="140"/>
        <w:rPr>
          <w:noProof/>
        </w:rPr>
      </w:pPr>
      <w:bookmarkStart w:id="312" w:name="_ENREF_9"/>
      <w:bookmarkEnd w:id="311"/>
      <w:r w:rsidRPr="00295D21">
        <w:rPr>
          <w:noProof/>
        </w:rPr>
        <w:t xml:space="preserve">Kolandai-Matchett K, Langham E, Bellringer M, et al. 2017. How gambling harms experienced by Pacific people in New Zealand amplify when they are culture-related. </w:t>
      </w:r>
      <w:r w:rsidRPr="00295D21">
        <w:rPr>
          <w:i/>
          <w:noProof/>
        </w:rPr>
        <w:t>Asian J</w:t>
      </w:r>
      <w:r w:rsidR="00CB52C5">
        <w:rPr>
          <w:i/>
          <w:noProof/>
        </w:rPr>
        <w:t>ournal of</w:t>
      </w:r>
      <w:r w:rsidRPr="00295D21">
        <w:rPr>
          <w:i/>
          <w:noProof/>
        </w:rPr>
        <w:t xml:space="preserve"> Gambl</w:t>
      </w:r>
      <w:r w:rsidR="00CB52C5">
        <w:rPr>
          <w:i/>
          <w:noProof/>
        </w:rPr>
        <w:t>ing</w:t>
      </w:r>
      <w:r w:rsidRPr="00295D21">
        <w:rPr>
          <w:i/>
          <w:noProof/>
        </w:rPr>
        <w:t xml:space="preserve"> Issues</w:t>
      </w:r>
      <w:r w:rsidR="00B27752">
        <w:rPr>
          <w:i/>
          <w:noProof/>
        </w:rPr>
        <w:t xml:space="preserve"> and</w:t>
      </w:r>
      <w:r w:rsidRPr="00295D21">
        <w:rPr>
          <w:i/>
          <w:noProof/>
        </w:rPr>
        <w:t xml:space="preserve"> Public Health</w:t>
      </w:r>
      <w:r w:rsidRPr="00295D21">
        <w:rPr>
          <w:noProof/>
        </w:rPr>
        <w:t xml:space="preserve"> 7(1): 5.</w:t>
      </w:r>
    </w:p>
    <w:p w:rsidR="0088150A" w:rsidRDefault="0088150A" w:rsidP="00A008A7">
      <w:pPr>
        <w:pStyle w:val="References"/>
        <w:spacing w:after="140"/>
        <w:rPr>
          <w:noProof/>
        </w:rPr>
      </w:pPr>
      <w:r>
        <w:rPr>
          <w:noProof/>
        </w:rPr>
        <w:t xml:space="preserve">Korn DA, Shaffer HJ. 1999. Gambling and the health of the public: adopting a public health perspective. </w:t>
      </w:r>
      <w:r>
        <w:rPr>
          <w:i/>
          <w:noProof/>
        </w:rPr>
        <w:t xml:space="preserve">Journal of Gambling Studies </w:t>
      </w:r>
      <w:r>
        <w:rPr>
          <w:noProof/>
        </w:rPr>
        <w:t>15(4).</w:t>
      </w:r>
    </w:p>
    <w:p w:rsidR="0088150A" w:rsidRDefault="0088150A" w:rsidP="00A008A7">
      <w:pPr>
        <w:pStyle w:val="References"/>
        <w:spacing w:after="140"/>
        <w:rPr>
          <w:noProof/>
        </w:rPr>
      </w:pPr>
      <w:r>
        <w:rPr>
          <w:noProof/>
        </w:rPr>
        <w:t xml:space="preserve">Minister of Health. 2016. </w:t>
      </w:r>
      <w:r>
        <w:rPr>
          <w:i/>
          <w:noProof/>
        </w:rPr>
        <w:t xml:space="preserve">New Zealand Health Strategy: Future direction. </w:t>
      </w:r>
      <w:r>
        <w:rPr>
          <w:noProof/>
        </w:rPr>
        <w:t>Wellington: Ministry of Health.</w:t>
      </w:r>
    </w:p>
    <w:p w:rsidR="0088150A" w:rsidRPr="00FF62A5" w:rsidRDefault="0088150A" w:rsidP="00A008A7">
      <w:pPr>
        <w:pStyle w:val="References"/>
        <w:spacing w:after="140"/>
        <w:rPr>
          <w:noProof/>
        </w:rPr>
      </w:pPr>
      <w:r>
        <w:rPr>
          <w:noProof/>
        </w:rPr>
        <w:t xml:space="preserve">Ministry of Health. 2007. </w:t>
      </w:r>
      <w:r>
        <w:rPr>
          <w:i/>
          <w:noProof/>
        </w:rPr>
        <w:t xml:space="preserve">Te Uru Kahikatea: Public Health Workforce Development Plan. </w:t>
      </w:r>
      <w:r>
        <w:rPr>
          <w:noProof/>
        </w:rPr>
        <w:t>Wellington: Ministry of Health.</w:t>
      </w:r>
    </w:p>
    <w:p w:rsidR="0088150A" w:rsidRDefault="0088150A" w:rsidP="00A008A7">
      <w:pPr>
        <w:pStyle w:val="References"/>
        <w:spacing w:after="140"/>
        <w:rPr>
          <w:noProof/>
        </w:rPr>
      </w:pPr>
      <w:r>
        <w:rPr>
          <w:noProof/>
        </w:rPr>
        <w:t xml:space="preserve">Ministry of Health. 2014a. </w:t>
      </w:r>
      <w:r w:rsidR="00331D74">
        <w:rPr>
          <w:i/>
        </w:rPr>
        <w:t>‘Ala</w:t>
      </w:r>
      <w:r w:rsidRPr="00C10A99">
        <w:rPr>
          <w:i/>
        </w:rPr>
        <w:t xml:space="preserve"> Mo</w:t>
      </w:r>
      <w:r w:rsidR="00A10EC0">
        <w:rPr>
          <w:i/>
        </w:rPr>
        <w:t>’</w:t>
      </w:r>
      <w:r w:rsidRPr="00C10A99">
        <w:rPr>
          <w:i/>
        </w:rPr>
        <w:t>ui: Pathways to Pacific Health and Wellbeing</w:t>
      </w:r>
      <w:r w:rsidR="0041794A">
        <w:rPr>
          <w:i/>
        </w:rPr>
        <w:br/>
      </w:r>
      <w:r w:rsidRPr="00C10A99">
        <w:rPr>
          <w:i/>
        </w:rPr>
        <w:t>2014–2018</w:t>
      </w:r>
      <w:r>
        <w:t>. Wellington: Ministry of Health.</w:t>
      </w:r>
    </w:p>
    <w:p w:rsidR="0088150A" w:rsidRDefault="0088150A" w:rsidP="00A008A7">
      <w:pPr>
        <w:pStyle w:val="References"/>
        <w:spacing w:after="140"/>
        <w:rPr>
          <w:noProof/>
        </w:rPr>
      </w:pPr>
      <w:r>
        <w:rPr>
          <w:noProof/>
        </w:rPr>
        <w:t xml:space="preserve">Ministry of Health. 2014b. </w:t>
      </w:r>
      <w:r>
        <w:rPr>
          <w:i/>
          <w:noProof/>
        </w:rPr>
        <w:t xml:space="preserve">Equity of Health Care for Māori: A framework. </w:t>
      </w:r>
      <w:r>
        <w:rPr>
          <w:noProof/>
        </w:rPr>
        <w:t>Wellington: Ministry of Health.</w:t>
      </w:r>
    </w:p>
    <w:p w:rsidR="0088150A" w:rsidRDefault="0088150A" w:rsidP="00A008A7">
      <w:pPr>
        <w:pStyle w:val="References"/>
        <w:spacing w:after="140"/>
        <w:rPr>
          <w:noProof/>
        </w:rPr>
      </w:pPr>
      <w:r>
        <w:rPr>
          <w:noProof/>
        </w:rPr>
        <w:t xml:space="preserve">Ministry of Health. 2014c. </w:t>
      </w:r>
      <w:r w:rsidRPr="00A008A7">
        <w:rPr>
          <w:i/>
          <w:noProof/>
        </w:rPr>
        <w:t>He Korowai Oranga</w:t>
      </w:r>
      <w:r>
        <w:rPr>
          <w:i/>
          <w:noProof/>
        </w:rPr>
        <w:t xml:space="preserve">. </w:t>
      </w:r>
      <w:r>
        <w:rPr>
          <w:noProof/>
        </w:rPr>
        <w:t xml:space="preserve">Wellington: Ministry of Health. URL: </w:t>
      </w:r>
      <w:r w:rsidRPr="00567B53">
        <w:rPr>
          <w:noProof/>
        </w:rPr>
        <w:t>www.health.govt.nz/our-work/populations/maori-health/he-korowai-oranga</w:t>
      </w:r>
      <w:r>
        <w:rPr>
          <w:noProof/>
        </w:rPr>
        <w:t xml:space="preserve"> (accessed 7</w:t>
      </w:r>
      <w:r w:rsidR="0041794A">
        <w:rPr>
          <w:noProof/>
        </w:rPr>
        <w:t> </w:t>
      </w:r>
      <w:r>
        <w:rPr>
          <w:noProof/>
        </w:rPr>
        <w:t>June 2018).</w:t>
      </w:r>
    </w:p>
    <w:p w:rsidR="0088150A" w:rsidRPr="003C32A5" w:rsidRDefault="0088150A" w:rsidP="00A008A7">
      <w:pPr>
        <w:pStyle w:val="References"/>
        <w:spacing w:after="140"/>
        <w:rPr>
          <w:noProof/>
        </w:rPr>
      </w:pPr>
      <w:r>
        <w:rPr>
          <w:noProof/>
        </w:rPr>
        <w:t xml:space="preserve">Ministry of </w:t>
      </w:r>
      <w:r w:rsidRPr="003C32A5">
        <w:rPr>
          <w:noProof/>
        </w:rPr>
        <w:t xml:space="preserve">Health. 2015. </w:t>
      </w:r>
      <w:r w:rsidRPr="003C32A5">
        <w:rPr>
          <w:i/>
          <w:noProof/>
        </w:rPr>
        <w:t xml:space="preserve">A Framework for Health Literacy. </w:t>
      </w:r>
      <w:r w:rsidRPr="003C32A5">
        <w:rPr>
          <w:noProof/>
        </w:rPr>
        <w:t>Wellington: Ministry of Health.</w:t>
      </w:r>
    </w:p>
    <w:p w:rsidR="0088150A" w:rsidRPr="003C32A5" w:rsidRDefault="0088150A" w:rsidP="00A008A7">
      <w:pPr>
        <w:pStyle w:val="References"/>
        <w:spacing w:after="140"/>
        <w:rPr>
          <w:noProof/>
        </w:rPr>
      </w:pPr>
      <w:r w:rsidRPr="003C32A5">
        <w:t>Ministry</w:t>
      </w:r>
      <w:r w:rsidRPr="003C32A5">
        <w:rPr>
          <w:lang w:eastAsia="en-NZ"/>
        </w:rPr>
        <w:t xml:space="preserve"> of Health. 2016. </w:t>
      </w:r>
      <w:r w:rsidRPr="0041794A">
        <w:rPr>
          <w:i/>
          <w:lang w:eastAsia="en-NZ"/>
        </w:rPr>
        <w:t>Strategy to Prevent and Minimise Gambling Harm 2016/17 to 2018/19</w:t>
      </w:r>
      <w:r w:rsidRPr="003C32A5">
        <w:rPr>
          <w:lang w:eastAsia="en-NZ"/>
        </w:rPr>
        <w:t>. Wellington: Ministry of Health.</w:t>
      </w:r>
    </w:p>
    <w:p w:rsidR="007609D2" w:rsidRPr="003C32A5" w:rsidRDefault="007609D2" w:rsidP="00A008A7">
      <w:pPr>
        <w:pStyle w:val="References"/>
        <w:spacing w:after="140"/>
        <w:rPr>
          <w:noProof/>
        </w:rPr>
      </w:pPr>
      <w:bookmarkStart w:id="313" w:name="_ENREF_11"/>
      <w:bookmarkEnd w:id="312"/>
      <w:r w:rsidRPr="003C32A5">
        <w:t>Ministry</w:t>
      </w:r>
      <w:r w:rsidRPr="003C32A5">
        <w:rPr>
          <w:lang w:eastAsia="en-NZ"/>
        </w:rPr>
        <w:t xml:space="preserve"> of Health.</w:t>
      </w:r>
      <w:r w:rsidR="0091239F">
        <w:rPr>
          <w:rFonts w:ascii="Arial" w:hAnsi="Arial" w:cs="Arial"/>
          <w:color w:val="002639"/>
          <w:sz w:val="20"/>
          <w:lang w:val="en"/>
        </w:rPr>
        <w:t xml:space="preserve"> 2018. </w:t>
      </w:r>
      <w:r w:rsidR="0091239F" w:rsidRPr="00A008A7">
        <w:rPr>
          <w:rFonts w:ascii="Arial" w:hAnsi="Arial" w:cs="Arial"/>
          <w:i/>
          <w:color w:val="002639"/>
          <w:sz w:val="20"/>
          <w:lang w:val="en"/>
        </w:rPr>
        <w:t>Progress on Gambling Harm Reduction 2010 to 2017: Outcomes report – New Zealand Strategy to Prevent and Minimise Gambling Harm.</w:t>
      </w:r>
      <w:r w:rsidR="0091239F">
        <w:rPr>
          <w:rFonts w:ascii="Arial" w:hAnsi="Arial" w:cs="Arial"/>
          <w:color w:val="002639"/>
          <w:sz w:val="20"/>
          <w:lang w:val="en"/>
        </w:rPr>
        <w:t xml:space="preserve"> Wellington: Ministry of Health</w:t>
      </w:r>
      <w:r w:rsidR="0091239F" w:rsidRPr="0091239F">
        <w:rPr>
          <w:i/>
          <w:lang w:eastAsia="en-NZ"/>
        </w:rPr>
        <w:t xml:space="preserve"> </w:t>
      </w:r>
    </w:p>
    <w:p w:rsidR="0088150A" w:rsidRDefault="0088150A" w:rsidP="00A008A7">
      <w:pPr>
        <w:pStyle w:val="References"/>
        <w:spacing w:after="140"/>
        <w:rPr>
          <w:noProof/>
        </w:rPr>
      </w:pPr>
      <w:r w:rsidRPr="00295D21">
        <w:rPr>
          <w:noProof/>
        </w:rPr>
        <w:t xml:space="preserve">Rintoul AC, Livingstone C, Mellor AP, et al. 2013. Modelling vulnerability to gambling related harm: How disadvantage predicts gambling losses. </w:t>
      </w:r>
      <w:r w:rsidRPr="00295D21">
        <w:rPr>
          <w:i/>
          <w:noProof/>
        </w:rPr>
        <w:t>Addiction Research &amp; Theory</w:t>
      </w:r>
      <w:r w:rsidRPr="00295D21">
        <w:rPr>
          <w:noProof/>
        </w:rPr>
        <w:t xml:space="preserve"> 21(4): 329</w:t>
      </w:r>
      <w:r>
        <w:rPr>
          <w:noProof/>
        </w:rPr>
        <w:t>–</w:t>
      </w:r>
      <w:r w:rsidRPr="00295D21">
        <w:rPr>
          <w:noProof/>
        </w:rPr>
        <w:t>38.</w:t>
      </w:r>
    </w:p>
    <w:p w:rsidR="0088150A" w:rsidRDefault="0088150A" w:rsidP="00A008A7">
      <w:pPr>
        <w:pStyle w:val="References"/>
        <w:spacing w:after="140"/>
      </w:pPr>
      <w:r w:rsidRPr="00B47AE6">
        <w:t xml:space="preserve">Rook H, Rippon R, Pauls R, et al. 2018. </w:t>
      </w:r>
      <w:r w:rsidRPr="00925F22">
        <w:rPr>
          <w:i/>
        </w:rPr>
        <w:t>Gambling Harm Reduction Needs Assessment</w:t>
      </w:r>
      <w:r>
        <w:t xml:space="preserve">. Wellington: Sapere </w:t>
      </w:r>
      <w:r w:rsidRPr="00B47AE6">
        <w:t>Research Group</w:t>
      </w:r>
      <w:r>
        <w:t>.</w:t>
      </w:r>
    </w:p>
    <w:p w:rsidR="00E55431" w:rsidRPr="00227299" w:rsidRDefault="00E55431" w:rsidP="00A008A7">
      <w:pPr>
        <w:pStyle w:val="References"/>
        <w:spacing w:after="140"/>
      </w:pPr>
      <w:r>
        <w:t>Signal L, Smith M, Barr M, et al. 2017.</w:t>
      </w:r>
      <w:r w:rsidRPr="00E55431">
        <w:t xml:space="preserve"> </w:t>
      </w:r>
      <w:r w:rsidRPr="000807DE">
        <w:t>Kids'Cam: an objective methodology to study the world in which children live</w:t>
      </w:r>
      <w:r>
        <w:t>.</w:t>
      </w:r>
      <w:r w:rsidR="00227299">
        <w:t xml:space="preserve"> </w:t>
      </w:r>
      <w:r w:rsidR="00227299">
        <w:rPr>
          <w:i/>
        </w:rPr>
        <w:t xml:space="preserve">American Journal of Preventive Medicine </w:t>
      </w:r>
      <w:r w:rsidR="00227299">
        <w:t>53(3): e89–e95.</w:t>
      </w:r>
    </w:p>
    <w:p w:rsidR="0088150A" w:rsidRDefault="0088150A" w:rsidP="00A008A7">
      <w:pPr>
        <w:pStyle w:val="References"/>
        <w:spacing w:after="140"/>
        <w:rPr>
          <w:rFonts w:cs="Segoe UI"/>
          <w:szCs w:val="21"/>
        </w:rPr>
      </w:pPr>
      <w:bookmarkStart w:id="314" w:name="_ENREF_12"/>
      <w:bookmarkEnd w:id="313"/>
      <w:r w:rsidRPr="004D113C">
        <w:rPr>
          <w:rFonts w:cs="Segoe UI"/>
          <w:szCs w:val="21"/>
        </w:rPr>
        <w:t xml:space="preserve">Thimasarn-Anwar T, Squire H, Trowland H, et al. 2017. </w:t>
      </w:r>
      <w:r w:rsidRPr="00925F22">
        <w:rPr>
          <w:rFonts w:cs="Segoe UI"/>
          <w:i/>
          <w:szCs w:val="21"/>
        </w:rPr>
        <w:t xml:space="preserve">Gambling </w:t>
      </w:r>
      <w:r>
        <w:rPr>
          <w:rFonts w:cs="Segoe UI"/>
          <w:i/>
          <w:szCs w:val="21"/>
        </w:rPr>
        <w:t>R</w:t>
      </w:r>
      <w:r w:rsidRPr="00925F22">
        <w:rPr>
          <w:rFonts w:cs="Segoe UI"/>
          <w:i/>
          <w:szCs w:val="21"/>
        </w:rPr>
        <w:t>eport: Results from the 2016 Health and Lifestyles Survey</w:t>
      </w:r>
      <w:r w:rsidRPr="004D113C">
        <w:rPr>
          <w:rFonts w:cs="Segoe UI"/>
          <w:szCs w:val="21"/>
        </w:rPr>
        <w:t>. Wellington: Health Promotion Agency Research</w:t>
      </w:r>
      <w:r w:rsidRPr="008A28AE">
        <w:rPr>
          <w:rFonts w:cs="Segoe UI"/>
          <w:szCs w:val="21"/>
        </w:rPr>
        <w:t xml:space="preserve"> and Evaluation Unit</w:t>
      </w:r>
      <w:r w:rsidRPr="004D113C">
        <w:rPr>
          <w:rFonts w:cs="Segoe UI"/>
          <w:szCs w:val="21"/>
        </w:rPr>
        <w:t>.</w:t>
      </w:r>
    </w:p>
    <w:p w:rsidR="0088150A" w:rsidRDefault="0088150A" w:rsidP="00A008A7">
      <w:pPr>
        <w:pStyle w:val="References"/>
        <w:spacing w:after="140"/>
      </w:pPr>
      <w:bookmarkStart w:id="315" w:name="_ENREF_13"/>
      <w:bookmarkEnd w:id="314"/>
      <w:r w:rsidRPr="00295D21">
        <w:rPr>
          <w:noProof/>
        </w:rPr>
        <w:t>van der Maas M. 2016. Problem gambling, anxiety and poverty: an examination of the relationship between poor mental health and gambling problems across socio</w:t>
      </w:r>
      <w:r w:rsidR="0041794A">
        <w:rPr>
          <w:noProof/>
        </w:rPr>
        <w:noBreakHyphen/>
      </w:r>
      <w:r w:rsidRPr="00295D21">
        <w:rPr>
          <w:noProof/>
        </w:rPr>
        <w:t xml:space="preserve">economic status. </w:t>
      </w:r>
      <w:r w:rsidRPr="00295D21">
        <w:rPr>
          <w:i/>
          <w:noProof/>
        </w:rPr>
        <w:t>International Gambling Studies</w:t>
      </w:r>
      <w:r w:rsidRPr="00295D21">
        <w:rPr>
          <w:noProof/>
        </w:rPr>
        <w:t xml:space="preserve"> 16(2): 281</w:t>
      </w:r>
      <w:r>
        <w:rPr>
          <w:noProof/>
        </w:rPr>
        <w:t>–</w:t>
      </w:r>
      <w:r w:rsidRPr="00295D21">
        <w:rPr>
          <w:noProof/>
        </w:rPr>
        <w:t>95.</w:t>
      </w:r>
      <w:bookmarkEnd w:id="315"/>
      <w:r w:rsidRPr="00295D21">
        <w:fldChar w:fldCharType="end"/>
      </w:r>
    </w:p>
    <w:p w:rsidR="0088150A" w:rsidRPr="00E312E8" w:rsidRDefault="00A02EAD" w:rsidP="00F776F5">
      <w:pPr>
        <w:pStyle w:val="Heading1"/>
        <w:numPr>
          <w:ilvl w:val="0"/>
          <w:numId w:val="0"/>
        </w:numPr>
        <w:ind w:left="992" w:hanging="992"/>
      </w:pPr>
      <w:bookmarkStart w:id="316" w:name="_Toc9239615"/>
      <w:r w:rsidRPr="00F776F5">
        <w:rPr>
          <w:rFonts w:ascii="Segoe UI" w:hAnsi="Segoe UI" w:cs="Segoe UI"/>
          <w:b/>
        </w:rPr>
        <w:lastRenderedPageBreak/>
        <w:t>List of abbreviations</w:t>
      </w:r>
      <w:bookmarkEnd w:id="316"/>
    </w:p>
    <w:tbl>
      <w:tblPr>
        <w:tblW w:w="0" w:type="auto"/>
        <w:tblLook w:val="04A0" w:firstRow="1" w:lastRow="0" w:firstColumn="1" w:lastColumn="0" w:noHBand="0" w:noVBand="1"/>
      </w:tblPr>
      <w:tblGrid>
        <w:gridCol w:w="1488"/>
        <w:gridCol w:w="6591"/>
      </w:tblGrid>
      <w:tr w:rsidR="0088150A" w:rsidRPr="00C10A99" w:rsidTr="0041794A">
        <w:tc>
          <w:tcPr>
            <w:tcW w:w="1494" w:type="dxa"/>
          </w:tcPr>
          <w:p w:rsidR="0088150A" w:rsidRDefault="0088150A" w:rsidP="00EE1982">
            <w:pPr>
              <w:spacing w:before="120"/>
            </w:pPr>
            <w:r>
              <w:t>AUT</w:t>
            </w:r>
          </w:p>
        </w:tc>
        <w:tc>
          <w:tcPr>
            <w:tcW w:w="6694" w:type="dxa"/>
          </w:tcPr>
          <w:p w:rsidR="0088150A" w:rsidRDefault="0088150A" w:rsidP="00EE1982">
            <w:pPr>
              <w:spacing w:before="120"/>
            </w:pPr>
            <w:r>
              <w:t>Auckland University of Technology</w:t>
            </w:r>
          </w:p>
        </w:tc>
      </w:tr>
      <w:tr w:rsidR="0088150A" w:rsidRPr="00C10A99" w:rsidTr="0041794A">
        <w:tc>
          <w:tcPr>
            <w:tcW w:w="1494" w:type="dxa"/>
          </w:tcPr>
          <w:p w:rsidR="0088150A" w:rsidRDefault="0088150A" w:rsidP="00EE1982">
            <w:pPr>
              <w:spacing w:before="120"/>
            </w:pPr>
            <w:r>
              <w:t>CLIC</w:t>
            </w:r>
          </w:p>
        </w:tc>
        <w:tc>
          <w:tcPr>
            <w:tcW w:w="6694" w:type="dxa"/>
          </w:tcPr>
          <w:p w:rsidR="0088150A" w:rsidRDefault="0088150A" w:rsidP="00EE1982">
            <w:pPr>
              <w:spacing w:before="120"/>
            </w:pPr>
            <w:r>
              <w:t>Client Information Collection</w:t>
            </w:r>
          </w:p>
        </w:tc>
      </w:tr>
      <w:tr w:rsidR="0088150A" w:rsidRPr="00C10A99" w:rsidTr="0041794A">
        <w:tc>
          <w:tcPr>
            <w:tcW w:w="1494" w:type="dxa"/>
          </w:tcPr>
          <w:p w:rsidR="0088150A" w:rsidRPr="00E312E8" w:rsidRDefault="0088150A" w:rsidP="00EE1982">
            <w:pPr>
              <w:spacing w:before="120"/>
            </w:pPr>
            <w:r>
              <w:t>DAPAANZ</w:t>
            </w:r>
          </w:p>
        </w:tc>
        <w:tc>
          <w:tcPr>
            <w:tcW w:w="6694" w:type="dxa"/>
          </w:tcPr>
          <w:p w:rsidR="0088150A" w:rsidRPr="00E312E8" w:rsidRDefault="0088150A" w:rsidP="00EE1982">
            <w:pPr>
              <w:spacing w:before="120"/>
            </w:pPr>
            <w:r>
              <w:t>Addiction Practitioners</w:t>
            </w:r>
            <w:r w:rsidR="00A10EC0">
              <w:t>’</w:t>
            </w:r>
            <w:r>
              <w:t xml:space="preserve"> Association Aotearoa New Zealand</w:t>
            </w:r>
          </w:p>
        </w:tc>
      </w:tr>
      <w:tr w:rsidR="0088150A" w:rsidRPr="00C10A99" w:rsidTr="0041794A">
        <w:tc>
          <w:tcPr>
            <w:tcW w:w="1494" w:type="dxa"/>
          </w:tcPr>
          <w:p w:rsidR="0088150A" w:rsidRPr="00E312E8" w:rsidRDefault="0088150A" w:rsidP="00EE1982">
            <w:pPr>
              <w:spacing w:before="120"/>
            </w:pPr>
            <w:r w:rsidRPr="00E312E8">
              <w:t>DIA</w:t>
            </w:r>
          </w:p>
        </w:tc>
        <w:tc>
          <w:tcPr>
            <w:tcW w:w="6694" w:type="dxa"/>
          </w:tcPr>
          <w:p w:rsidR="0088150A" w:rsidRPr="00E312E8" w:rsidRDefault="0088150A" w:rsidP="00EE1982">
            <w:pPr>
              <w:spacing w:before="120"/>
            </w:pPr>
            <w:r w:rsidRPr="00E312E8">
              <w:t>Department of Internal Affairs</w:t>
            </w:r>
          </w:p>
        </w:tc>
      </w:tr>
      <w:tr w:rsidR="0088150A" w:rsidRPr="00C10A99" w:rsidTr="0041794A">
        <w:tc>
          <w:tcPr>
            <w:tcW w:w="1494" w:type="dxa"/>
          </w:tcPr>
          <w:p w:rsidR="0088150A" w:rsidRPr="00E312E8" w:rsidRDefault="0088150A" w:rsidP="00EE1982">
            <w:pPr>
              <w:spacing w:before="120"/>
            </w:pPr>
            <w:r w:rsidRPr="00E312E8">
              <w:t>EGM</w:t>
            </w:r>
          </w:p>
        </w:tc>
        <w:tc>
          <w:tcPr>
            <w:tcW w:w="6694" w:type="dxa"/>
          </w:tcPr>
          <w:p w:rsidR="0088150A" w:rsidRPr="00E312E8" w:rsidRDefault="0088150A" w:rsidP="00EE1982">
            <w:pPr>
              <w:spacing w:before="120"/>
            </w:pPr>
            <w:r w:rsidRPr="00E312E8">
              <w:t>Electronic gaming machine</w:t>
            </w:r>
          </w:p>
        </w:tc>
      </w:tr>
      <w:tr w:rsidR="0088150A" w:rsidRPr="00C10A99" w:rsidTr="0041794A">
        <w:tc>
          <w:tcPr>
            <w:tcW w:w="1494" w:type="dxa"/>
          </w:tcPr>
          <w:p w:rsidR="0088150A" w:rsidRPr="00E312E8" w:rsidRDefault="0088150A" w:rsidP="00EE1982">
            <w:pPr>
              <w:spacing w:before="120"/>
            </w:pPr>
            <w:r>
              <w:t>EMS</w:t>
            </w:r>
          </w:p>
        </w:tc>
        <w:tc>
          <w:tcPr>
            <w:tcW w:w="6694" w:type="dxa"/>
          </w:tcPr>
          <w:p w:rsidR="0088150A" w:rsidRPr="00E312E8" w:rsidRDefault="0088150A" w:rsidP="00EE1982">
            <w:pPr>
              <w:spacing w:before="120"/>
            </w:pPr>
            <w:r>
              <w:t>Electronic monitoring system</w:t>
            </w:r>
          </w:p>
        </w:tc>
      </w:tr>
      <w:tr w:rsidR="0088150A" w:rsidRPr="00C10A99" w:rsidTr="0041794A">
        <w:tc>
          <w:tcPr>
            <w:tcW w:w="1494" w:type="dxa"/>
          </w:tcPr>
          <w:p w:rsidR="0088150A" w:rsidRPr="00E312E8" w:rsidRDefault="0088150A" w:rsidP="00EE1982">
            <w:pPr>
              <w:spacing w:before="120"/>
            </w:pPr>
            <w:r>
              <w:t>FTE</w:t>
            </w:r>
          </w:p>
        </w:tc>
        <w:tc>
          <w:tcPr>
            <w:tcW w:w="6694" w:type="dxa"/>
          </w:tcPr>
          <w:p w:rsidR="0088150A" w:rsidRPr="00E312E8" w:rsidRDefault="0088150A" w:rsidP="00EE1982">
            <w:pPr>
              <w:spacing w:before="120"/>
            </w:pPr>
            <w:r>
              <w:t>Full-time equivalent</w:t>
            </w:r>
          </w:p>
        </w:tc>
      </w:tr>
      <w:tr w:rsidR="0088150A" w:rsidRPr="00C10A99" w:rsidTr="0041794A">
        <w:tc>
          <w:tcPr>
            <w:tcW w:w="1494" w:type="dxa"/>
          </w:tcPr>
          <w:p w:rsidR="0088150A" w:rsidRPr="00E312E8" w:rsidRDefault="0088150A" w:rsidP="00EE1982">
            <w:pPr>
              <w:spacing w:before="120"/>
            </w:pPr>
            <w:r w:rsidRPr="00E312E8">
              <w:t>HLS</w:t>
            </w:r>
          </w:p>
        </w:tc>
        <w:tc>
          <w:tcPr>
            <w:tcW w:w="6694" w:type="dxa"/>
          </w:tcPr>
          <w:p w:rsidR="0088150A" w:rsidRPr="00E312E8" w:rsidRDefault="0088150A" w:rsidP="00EE1982">
            <w:pPr>
              <w:spacing w:before="120"/>
            </w:pPr>
            <w:r w:rsidRPr="00E312E8">
              <w:t>Health and Lifestyles Survey</w:t>
            </w:r>
          </w:p>
        </w:tc>
      </w:tr>
      <w:tr w:rsidR="0088150A" w:rsidRPr="00C10A99" w:rsidTr="0041794A">
        <w:tc>
          <w:tcPr>
            <w:tcW w:w="1494" w:type="dxa"/>
          </w:tcPr>
          <w:p w:rsidR="0088150A" w:rsidRPr="00E312E8" w:rsidRDefault="0088150A" w:rsidP="00EE1982">
            <w:pPr>
              <w:spacing w:before="120"/>
            </w:pPr>
            <w:r w:rsidRPr="00E312E8">
              <w:t>HPA</w:t>
            </w:r>
          </w:p>
        </w:tc>
        <w:tc>
          <w:tcPr>
            <w:tcW w:w="6694" w:type="dxa"/>
          </w:tcPr>
          <w:p w:rsidR="0088150A" w:rsidRPr="00E312E8" w:rsidRDefault="0088150A" w:rsidP="00EE1982">
            <w:pPr>
              <w:spacing w:before="120"/>
            </w:pPr>
            <w:r>
              <w:t>Health Promotion Agency</w:t>
            </w:r>
          </w:p>
        </w:tc>
      </w:tr>
      <w:tr w:rsidR="0088150A" w:rsidRPr="00C10A99" w:rsidTr="0041794A">
        <w:tc>
          <w:tcPr>
            <w:tcW w:w="1494" w:type="dxa"/>
          </w:tcPr>
          <w:p w:rsidR="0088150A" w:rsidRPr="00E312E8" w:rsidDel="00B77693" w:rsidRDefault="0088150A" w:rsidP="00EE1982">
            <w:pPr>
              <w:spacing w:before="120"/>
            </w:pPr>
            <w:r>
              <w:t>IRD</w:t>
            </w:r>
          </w:p>
        </w:tc>
        <w:tc>
          <w:tcPr>
            <w:tcW w:w="6694" w:type="dxa"/>
          </w:tcPr>
          <w:p w:rsidR="0088150A" w:rsidRPr="00E312E8" w:rsidDel="00B77693" w:rsidRDefault="0088150A" w:rsidP="00EE1982">
            <w:pPr>
              <w:spacing w:before="120"/>
            </w:pPr>
            <w:r>
              <w:t>Inland Revenue Department</w:t>
            </w:r>
          </w:p>
        </w:tc>
      </w:tr>
      <w:tr w:rsidR="0088150A" w:rsidRPr="00C10A99" w:rsidTr="0041794A">
        <w:tc>
          <w:tcPr>
            <w:tcW w:w="1494" w:type="dxa"/>
          </w:tcPr>
          <w:p w:rsidR="0088150A" w:rsidRPr="00E312E8" w:rsidRDefault="0088150A" w:rsidP="00EE1982">
            <w:pPr>
              <w:spacing w:before="120"/>
            </w:pPr>
            <w:r w:rsidRPr="00E312E8">
              <w:t>Ministry</w:t>
            </w:r>
          </w:p>
        </w:tc>
        <w:tc>
          <w:tcPr>
            <w:tcW w:w="6694" w:type="dxa"/>
          </w:tcPr>
          <w:p w:rsidR="0088150A" w:rsidRPr="00E312E8" w:rsidRDefault="0088150A" w:rsidP="00EE1982">
            <w:pPr>
              <w:spacing w:before="120"/>
            </w:pPr>
            <w:r w:rsidRPr="00E312E8">
              <w:t>Ministry of Health</w:t>
            </w:r>
          </w:p>
        </w:tc>
      </w:tr>
      <w:tr w:rsidR="0088150A" w:rsidRPr="00C10A99" w:rsidTr="0041794A">
        <w:tc>
          <w:tcPr>
            <w:tcW w:w="1494" w:type="dxa"/>
          </w:tcPr>
          <w:p w:rsidR="0088150A" w:rsidRPr="00E312E8" w:rsidRDefault="0088150A" w:rsidP="00EE1982">
            <w:pPr>
              <w:spacing w:before="120"/>
            </w:pPr>
            <w:r>
              <w:t>MVE</w:t>
            </w:r>
          </w:p>
        </w:tc>
        <w:tc>
          <w:tcPr>
            <w:tcW w:w="6694" w:type="dxa"/>
          </w:tcPr>
          <w:p w:rsidR="0088150A" w:rsidRPr="00E312E8" w:rsidRDefault="0088150A" w:rsidP="00EE1982">
            <w:pPr>
              <w:spacing w:before="120"/>
            </w:pPr>
            <w:r>
              <w:t>Multi-venue exclusion</w:t>
            </w:r>
          </w:p>
        </w:tc>
      </w:tr>
      <w:tr w:rsidR="0088150A" w:rsidRPr="00C10A99" w:rsidTr="0041794A">
        <w:tc>
          <w:tcPr>
            <w:tcW w:w="1494" w:type="dxa"/>
          </w:tcPr>
          <w:p w:rsidR="0088150A" w:rsidRPr="00E312E8" w:rsidRDefault="0088150A" w:rsidP="00EE1982">
            <w:pPr>
              <w:spacing w:before="120"/>
            </w:pPr>
            <w:r>
              <w:t>NCGM</w:t>
            </w:r>
          </w:p>
        </w:tc>
        <w:tc>
          <w:tcPr>
            <w:tcW w:w="6694" w:type="dxa"/>
          </w:tcPr>
          <w:p w:rsidR="0088150A" w:rsidRPr="00E312E8" w:rsidRDefault="0088150A" w:rsidP="00EE1982">
            <w:pPr>
              <w:spacing w:before="120"/>
            </w:pPr>
            <w:r>
              <w:t>Non-casino gaming machine</w:t>
            </w:r>
          </w:p>
        </w:tc>
      </w:tr>
      <w:tr w:rsidR="0088150A" w:rsidRPr="00C10A99" w:rsidTr="0041794A">
        <w:tc>
          <w:tcPr>
            <w:tcW w:w="1494" w:type="dxa"/>
          </w:tcPr>
          <w:p w:rsidR="0088150A" w:rsidRDefault="0088150A" w:rsidP="00EE1982">
            <w:pPr>
              <w:spacing w:before="120"/>
            </w:pPr>
            <w:r>
              <w:t>NGO</w:t>
            </w:r>
          </w:p>
        </w:tc>
        <w:tc>
          <w:tcPr>
            <w:tcW w:w="6694" w:type="dxa"/>
          </w:tcPr>
          <w:p w:rsidR="0088150A" w:rsidRDefault="0088150A" w:rsidP="00EE1982">
            <w:pPr>
              <w:spacing w:before="120"/>
            </w:pPr>
            <w:r>
              <w:t>Non-governmental organisation</w:t>
            </w:r>
          </w:p>
        </w:tc>
      </w:tr>
      <w:tr w:rsidR="0088150A" w:rsidRPr="00C10A99" w:rsidTr="0041794A">
        <w:tc>
          <w:tcPr>
            <w:tcW w:w="1494" w:type="dxa"/>
          </w:tcPr>
          <w:p w:rsidR="0088150A" w:rsidRPr="00E312E8" w:rsidRDefault="0088150A" w:rsidP="00EE1982">
            <w:pPr>
              <w:spacing w:before="120"/>
            </w:pPr>
            <w:r>
              <w:t>NGS</w:t>
            </w:r>
          </w:p>
        </w:tc>
        <w:tc>
          <w:tcPr>
            <w:tcW w:w="6694" w:type="dxa"/>
          </w:tcPr>
          <w:p w:rsidR="0088150A" w:rsidRPr="00E312E8" w:rsidRDefault="0088150A" w:rsidP="00EE1982">
            <w:pPr>
              <w:spacing w:before="120"/>
            </w:pPr>
            <w:r>
              <w:t>National Gambling Study</w:t>
            </w:r>
          </w:p>
        </w:tc>
      </w:tr>
      <w:tr w:rsidR="0088150A" w:rsidRPr="00C10A99" w:rsidTr="0041794A">
        <w:tc>
          <w:tcPr>
            <w:tcW w:w="1494" w:type="dxa"/>
          </w:tcPr>
          <w:p w:rsidR="0088150A" w:rsidRDefault="0088150A" w:rsidP="00EE1982">
            <w:pPr>
              <w:spacing w:before="120"/>
            </w:pPr>
            <w:r>
              <w:t>NZLC</w:t>
            </w:r>
          </w:p>
        </w:tc>
        <w:tc>
          <w:tcPr>
            <w:tcW w:w="6694" w:type="dxa"/>
          </w:tcPr>
          <w:p w:rsidR="0088150A" w:rsidRDefault="0088150A" w:rsidP="00EE1982">
            <w:pPr>
              <w:spacing w:before="120"/>
            </w:pPr>
            <w:r>
              <w:t>New Zealand Lotteries Commission</w:t>
            </w:r>
          </w:p>
        </w:tc>
      </w:tr>
      <w:tr w:rsidR="0088150A" w:rsidRPr="00C10A99" w:rsidTr="0041794A">
        <w:tc>
          <w:tcPr>
            <w:tcW w:w="1494" w:type="dxa"/>
          </w:tcPr>
          <w:p w:rsidR="0088150A" w:rsidRPr="00E312E8" w:rsidRDefault="0088150A" w:rsidP="00EE1982">
            <w:pPr>
              <w:spacing w:before="120"/>
            </w:pPr>
            <w:r>
              <w:t>NZRB</w:t>
            </w:r>
          </w:p>
        </w:tc>
        <w:tc>
          <w:tcPr>
            <w:tcW w:w="6694" w:type="dxa"/>
          </w:tcPr>
          <w:p w:rsidR="0088150A" w:rsidRPr="00E312E8" w:rsidRDefault="0088150A" w:rsidP="00EE1982">
            <w:pPr>
              <w:spacing w:before="120"/>
            </w:pPr>
            <w:r>
              <w:t>New Zealand Racing Board</w:t>
            </w:r>
          </w:p>
        </w:tc>
      </w:tr>
      <w:tr w:rsidR="0088150A" w:rsidRPr="00C10A99" w:rsidTr="0041794A">
        <w:tc>
          <w:tcPr>
            <w:tcW w:w="1494" w:type="dxa"/>
          </w:tcPr>
          <w:p w:rsidR="0088150A" w:rsidRDefault="0088150A" w:rsidP="00EE1982">
            <w:pPr>
              <w:spacing w:before="120"/>
            </w:pPr>
            <w:r>
              <w:t>PGF</w:t>
            </w:r>
          </w:p>
        </w:tc>
        <w:tc>
          <w:tcPr>
            <w:tcW w:w="6694" w:type="dxa"/>
          </w:tcPr>
          <w:p w:rsidR="0088150A" w:rsidRDefault="0088150A" w:rsidP="00EE1982">
            <w:pPr>
              <w:spacing w:before="120"/>
            </w:pPr>
            <w:r>
              <w:t>Problem Gambling Foundation of New Zealand</w:t>
            </w:r>
          </w:p>
        </w:tc>
      </w:tr>
      <w:tr w:rsidR="0088150A" w:rsidRPr="00C10A99" w:rsidTr="0041794A">
        <w:tc>
          <w:tcPr>
            <w:tcW w:w="1494" w:type="dxa"/>
          </w:tcPr>
          <w:p w:rsidR="0088150A" w:rsidRDefault="0088150A" w:rsidP="00EE1982">
            <w:pPr>
              <w:spacing w:before="120"/>
            </w:pPr>
            <w:r>
              <w:t>PGSI</w:t>
            </w:r>
          </w:p>
        </w:tc>
        <w:tc>
          <w:tcPr>
            <w:tcW w:w="6694" w:type="dxa"/>
          </w:tcPr>
          <w:p w:rsidR="0088150A" w:rsidRDefault="0088150A" w:rsidP="00EE1982">
            <w:pPr>
              <w:spacing w:before="120"/>
            </w:pPr>
            <w:r>
              <w:t>Problem gambling severity index</w:t>
            </w:r>
          </w:p>
        </w:tc>
      </w:tr>
      <w:tr w:rsidR="0088150A" w:rsidRPr="00C10A99" w:rsidTr="0041794A">
        <w:tc>
          <w:tcPr>
            <w:tcW w:w="1494" w:type="dxa"/>
          </w:tcPr>
          <w:p w:rsidR="0088150A" w:rsidRPr="00E312E8" w:rsidRDefault="0088150A" w:rsidP="00EE1982">
            <w:pPr>
              <w:spacing w:before="120"/>
            </w:pPr>
            <w:r>
              <w:t>PPGM</w:t>
            </w:r>
          </w:p>
        </w:tc>
        <w:tc>
          <w:tcPr>
            <w:tcW w:w="6694" w:type="dxa"/>
          </w:tcPr>
          <w:p w:rsidR="0088150A" w:rsidRPr="00E312E8" w:rsidRDefault="0088150A" w:rsidP="00EE1982">
            <w:pPr>
              <w:spacing w:before="120"/>
            </w:pPr>
            <w:r>
              <w:t>Primary problem gambling mode</w:t>
            </w:r>
          </w:p>
        </w:tc>
      </w:tr>
      <w:tr w:rsidR="0088150A" w:rsidRPr="00C10A99" w:rsidTr="0041794A">
        <w:tc>
          <w:tcPr>
            <w:tcW w:w="1494" w:type="dxa"/>
          </w:tcPr>
          <w:p w:rsidR="0088150A" w:rsidRPr="00E312E8" w:rsidRDefault="0088150A" w:rsidP="00EE1982">
            <w:pPr>
              <w:spacing w:before="120"/>
            </w:pPr>
            <w:r>
              <w:t>WHO</w:t>
            </w:r>
          </w:p>
        </w:tc>
        <w:tc>
          <w:tcPr>
            <w:tcW w:w="6694" w:type="dxa"/>
          </w:tcPr>
          <w:p w:rsidR="0088150A" w:rsidRPr="00E312E8" w:rsidRDefault="0088150A" w:rsidP="00EE1982">
            <w:pPr>
              <w:spacing w:before="120"/>
            </w:pPr>
            <w:r>
              <w:t>World Health Organization</w:t>
            </w:r>
          </w:p>
        </w:tc>
      </w:tr>
    </w:tbl>
    <w:p w:rsidR="0088150A" w:rsidRPr="00E312E8" w:rsidRDefault="0088150A" w:rsidP="0041794A"/>
    <w:sectPr w:rsidR="0088150A" w:rsidRPr="00E312E8" w:rsidSect="007A2C74">
      <w:headerReference w:type="even" r:id="rId49"/>
      <w:headerReference w:type="default" r:id="rId50"/>
      <w:footerReference w:type="default" r:id="rId51"/>
      <w:headerReference w:type="first" r:id="rId52"/>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95C" w:rsidRDefault="00F6595C">
      <w:r>
        <w:separator/>
      </w:r>
    </w:p>
    <w:p w:rsidR="00F6595C" w:rsidRDefault="00F6595C"/>
  </w:endnote>
  <w:endnote w:type="continuationSeparator" w:id="0">
    <w:p w:rsidR="00F6595C" w:rsidRDefault="00F6595C">
      <w:r>
        <w:continuationSeparator/>
      </w:r>
    </w:p>
    <w:p w:rsidR="00F6595C" w:rsidRDefault="00F65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Pr="00581136" w:rsidRDefault="00F776F5"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rsidR="00F776F5" w:rsidRPr="005A79E5" w:rsidRDefault="00F776F5">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rsidP="004D6689">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F776F5" w:rsidTr="00D662F8">
      <w:trPr>
        <w:cantSplit/>
      </w:trPr>
      <w:tc>
        <w:tcPr>
          <w:tcW w:w="709" w:type="dxa"/>
          <w:vAlign w:val="center"/>
        </w:tcPr>
        <w:p w:rsidR="00F776F5" w:rsidRPr="00931466" w:rsidRDefault="00F776F5"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4354CD">
            <w:rPr>
              <w:rStyle w:val="PageNumber"/>
              <w:noProof/>
            </w:rPr>
            <w:t>vi</w:t>
          </w:r>
          <w:r w:rsidRPr="00931466">
            <w:rPr>
              <w:rStyle w:val="PageNumber"/>
            </w:rPr>
            <w:fldChar w:fldCharType="end"/>
          </w:r>
        </w:p>
      </w:tc>
      <w:tc>
        <w:tcPr>
          <w:tcW w:w="8080" w:type="dxa"/>
          <w:vAlign w:val="center"/>
        </w:tcPr>
        <w:p w:rsidR="00F776F5" w:rsidRDefault="00F776F5" w:rsidP="00E7253A">
          <w:pPr>
            <w:pStyle w:val="RectoFooter"/>
            <w:jc w:val="left"/>
          </w:pPr>
          <w:r>
            <w:t>STRATEGY TO PREVENT AND MINIMISE GAMBLING HARM 2019/20 TO 2021/22</w:t>
          </w:r>
        </w:p>
      </w:tc>
    </w:tr>
  </w:tbl>
  <w:p w:rsidR="00F776F5" w:rsidRPr="00571223" w:rsidRDefault="00F776F5" w:rsidP="00571223">
    <w:pPr>
      <w:pStyle w:val="VersoFoo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776F5" w:rsidTr="00D662F8">
      <w:trPr>
        <w:cantSplit/>
      </w:trPr>
      <w:tc>
        <w:tcPr>
          <w:tcW w:w="8080" w:type="dxa"/>
          <w:vAlign w:val="center"/>
        </w:tcPr>
        <w:p w:rsidR="00F776F5" w:rsidRDefault="00F776F5" w:rsidP="00076DA6">
          <w:pPr>
            <w:pStyle w:val="RectoFooter"/>
          </w:pPr>
          <w:r>
            <w:t xml:space="preserve"> STRATEGY TO PREVENT AND MINIMISE GAMBLING HARM 2019/20 TO 2021/22</w:t>
          </w:r>
        </w:p>
      </w:tc>
      <w:tc>
        <w:tcPr>
          <w:tcW w:w="709" w:type="dxa"/>
          <w:vAlign w:val="center"/>
        </w:tcPr>
        <w:p w:rsidR="00F776F5" w:rsidRPr="00931466" w:rsidRDefault="00F776F5"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4354CD">
            <w:rPr>
              <w:rStyle w:val="PageNumber"/>
              <w:noProof/>
            </w:rPr>
            <w:t>v</w:t>
          </w:r>
          <w:r w:rsidRPr="00931466">
            <w:rPr>
              <w:rStyle w:val="PageNumber"/>
            </w:rPr>
            <w:fldChar w:fldCharType="end"/>
          </w:r>
        </w:p>
      </w:tc>
    </w:tr>
  </w:tbl>
  <w:p w:rsidR="00F776F5" w:rsidRPr="00581EB8" w:rsidRDefault="00F776F5" w:rsidP="00581EB8">
    <w:pPr>
      <w:pStyle w:val="Foote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F776F5" w:rsidTr="00D662F8">
      <w:trPr>
        <w:cantSplit/>
      </w:trPr>
      <w:tc>
        <w:tcPr>
          <w:tcW w:w="675" w:type="dxa"/>
          <w:vAlign w:val="center"/>
        </w:tcPr>
        <w:p w:rsidR="00F776F5" w:rsidRPr="00931466" w:rsidRDefault="00F776F5"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4354CD">
            <w:rPr>
              <w:rStyle w:val="PageNumber"/>
              <w:noProof/>
            </w:rPr>
            <w:t>14</w:t>
          </w:r>
          <w:r w:rsidRPr="00931466">
            <w:rPr>
              <w:rStyle w:val="PageNumber"/>
            </w:rPr>
            <w:fldChar w:fldCharType="end"/>
          </w:r>
        </w:p>
      </w:tc>
      <w:tc>
        <w:tcPr>
          <w:tcW w:w="9072" w:type="dxa"/>
          <w:vAlign w:val="center"/>
        </w:tcPr>
        <w:p w:rsidR="00F776F5" w:rsidRDefault="00F776F5" w:rsidP="00363AB1">
          <w:pPr>
            <w:pStyle w:val="RectoFooter"/>
            <w:jc w:val="left"/>
          </w:pPr>
          <w:r>
            <w:t xml:space="preserve"> STRATEGY TO PREVENT AND MINIMISE GAMBLING HARM 2019/20 TO 2021/22 </w:t>
          </w:r>
        </w:p>
      </w:tc>
    </w:tr>
  </w:tbl>
  <w:p w:rsidR="00F776F5" w:rsidRPr="00571223" w:rsidRDefault="00F776F5" w:rsidP="00571223">
    <w:pPr>
      <w:pStyle w:val="Verso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776F5" w:rsidTr="00D662F8">
      <w:trPr>
        <w:cantSplit/>
      </w:trPr>
      <w:tc>
        <w:tcPr>
          <w:tcW w:w="8080" w:type="dxa"/>
          <w:vAlign w:val="center"/>
        </w:tcPr>
        <w:p w:rsidR="00F776F5" w:rsidRDefault="00F776F5" w:rsidP="0067217D">
          <w:pPr>
            <w:pStyle w:val="RectoFooter"/>
          </w:pPr>
          <w:r>
            <w:t xml:space="preserve"> STRATEGY TO PREVENT AND MINIMISE GAMBLING HARM 2019/20 TO 2021/22</w:t>
          </w:r>
        </w:p>
      </w:tc>
      <w:tc>
        <w:tcPr>
          <w:tcW w:w="709" w:type="dxa"/>
          <w:vAlign w:val="center"/>
        </w:tcPr>
        <w:p w:rsidR="00F776F5" w:rsidRPr="00931466" w:rsidRDefault="00F776F5"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4354CD">
            <w:rPr>
              <w:rStyle w:val="PageNumber"/>
              <w:noProof/>
            </w:rPr>
            <w:t>15</w:t>
          </w:r>
          <w:r w:rsidRPr="00931466">
            <w:rPr>
              <w:rStyle w:val="PageNumber"/>
            </w:rPr>
            <w:fldChar w:fldCharType="end"/>
          </w:r>
        </w:p>
      </w:tc>
    </w:tr>
  </w:tbl>
  <w:p w:rsidR="00F776F5" w:rsidRPr="00581EB8" w:rsidRDefault="00F776F5" w:rsidP="00581EB8">
    <w:pPr>
      <w:pStyle w:val="Foote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50"/>
      <w:gridCol w:w="709"/>
    </w:tblGrid>
    <w:tr w:rsidR="00F776F5" w:rsidTr="00E411B9">
      <w:trPr>
        <w:cantSplit/>
      </w:trPr>
      <w:tc>
        <w:tcPr>
          <w:tcW w:w="13750" w:type="dxa"/>
          <w:vAlign w:val="center"/>
        </w:tcPr>
        <w:p w:rsidR="00F776F5" w:rsidRDefault="00F776F5" w:rsidP="00A42A02">
          <w:pPr>
            <w:pStyle w:val="RectoFooter"/>
            <w:jc w:val="left"/>
          </w:pPr>
          <w:r>
            <w:t>STRATEGY TO PREVENT AND MINIMISE GAMBLING HARM 2019/20 TO 2021/22: PROPOSALS DOCUMENT</w:t>
          </w:r>
        </w:p>
      </w:tc>
      <w:tc>
        <w:tcPr>
          <w:tcW w:w="709" w:type="dxa"/>
          <w:vAlign w:val="center"/>
        </w:tcPr>
        <w:p w:rsidR="00F776F5" w:rsidRPr="00931466" w:rsidRDefault="00F776F5"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3F217A">
            <w:rPr>
              <w:rStyle w:val="PageNumber"/>
              <w:noProof/>
            </w:rPr>
            <w:t>17</w:t>
          </w:r>
          <w:r w:rsidRPr="00931466">
            <w:rPr>
              <w:rStyle w:val="PageNumber"/>
            </w:rPr>
            <w:fldChar w:fldCharType="end"/>
          </w:r>
        </w:p>
      </w:tc>
    </w:tr>
  </w:tbl>
  <w:p w:rsidR="00F776F5" w:rsidRPr="00581EB8" w:rsidRDefault="00F776F5" w:rsidP="00581EB8">
    <w:pPr>
      <w:pStyle w:val="Foote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776F5" w:rsidTr="00D662F8">
      <w:trPr>
        <w:cantSplit/>
      </w:trPr>
      <w:tc>
        <w:tcPr>
          <w:tcW w:w="8080" w:type="dxa"/>
          <w:vAlign w:val="center"/>
        </w:tcPr>
        <w:p w:rsidR="00F776F5" w:rsidRDefault="00F776F5" w:rsidP="00057902">
          <w:pPr>
            <w:pStyle w:val="RectoFooter"/>
          </w:pPr>
          <w:r>
            <w:t>STRATEGY TO PREVENT AND MINIMISE GAMBLING HARM 2019/20 TO 2021/22</w:t>
          </w:r>
        </w:p>
      </w:tc>
      <w:tc>
        <w:tcPr>
          <w:tcW w:w="709" w:type="dxa"/>
          <w:vAlign w:val="center"/>
        </w:tcPr>
        <w:p w:rsidR="00F776F5" w:rsidRPr="00931466" w:rsidRDefault="00F776F5"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4354CD">
            <w:rPr>
              <w:rStyle w:val="PageNumber"/>
              <w:noProof/>
            </w:rPr>
            <w:t>75</w:t>
          </w:r>
          <w:r w:rsidRPr="00931466">
            <w:rPr>
              <w:rStyle w:val="PageNumber"/>
            </w:rPr>
            <w:fldChar w:fldCharType="end"/>
          </w:r>
        </w:p>
      </w:tc>
    </w:tr>
  </w:tbl>
  <w:p w:rsidR="00F776F5" w:rsidRPr="00581EB8" w:rsidRDefault="00F776F5" w:rsidP="00581EB8">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95C" w:rsidRPr="00A26E6B" w:rsidRDefault="00F6595C" w:rsidP="00A26E6B"/>
  </w:footnote>
  <w:footnote w:type="continuationSeparator" w:id="0">
    <w:p w:rsidR="00F6595C" w:rsidRDefault="00F6595C">
      <w:r>
        <w:continuationSeparator/>
      </w:r>
    </w:p>
    <w:p w:rsidR="00F6595C" w:rsidRDefault="00F6595C"/>
  </w:footnote>
  <w:footnote w:id="1">
    <w:p w:rsidR="00F776F5" w:rsidRDefault="00F776F5" w:rsidP="003608D7">
      <w:pPr>
        <w:pStyle w:val="FootnoteText"/>
      </w:pPr>
      <w:r w:rsidRPr="003608D7">
        <w:rPr>
          <w:rStyle w:val="FootnoteReference"/>
        </w:rPr>
        <w:footnoteRef/>
      </w:r>
      <w:r>
        <w:tab/>
        <w:t>In</w:t>
      </w:r>
      <w:r w:rsidRPr="00C10A99">
        <w:t xml:space="preserve"> 2012, 2013 and 2014</w:t>
      </w:r>
      <w:r>
        <w:t xml:space="preserve">, AUT reported rates of </w:t>
      </w:r>
      <w:r w:rsidRPr="00C10A99">
        <w:t xml:space="preserve">1.7%, 1.2% and 0.9% </w:t>
      </w:r>
      <w:r>
        <w:t xml:space="preserve">respectively. For the same years Bellringer et al (2015) found a nationwide </w:t>
      </w:r>
      <w:r w:rsidRPr="00C10A99">
        <w:t xml:space="preserve">self-reported annual expenditure on offshore online/remote gambling </w:t>
      </w:r>
      <w:r>
        <w:t xml:space="preserve">of </w:t>
      </w:r>
      <w:r w:rsidRPr="00C10A99">
        <w:t>$47.6 million, $14.6 million and $36.2</w:t>
      </w:r>
      <w:r>
        <w:t> </w:t>
      </w:r>
      <w:r w:rsidRPr="00C10A99">
        <w:t xml:space="preserve">million </w:t>
      </w:r>
      <w:r>
        <w:t>respectively.</w:t>
      </w:r>
    </w:p>
  </w:footnote>
  <w:footnote w:id="2">
    <w:p w:rsidR="00F776F5" w:rsidRDefault="00F776F5" w:rsidP="0088150A">
      <w:pPr>
        <w:pStyle w:val="FootnoteText"/>
      </w:pPr>
      <w:r w:rsidRPr="003608D7">
        <w:rPr>
          <w:rStyle w:val="FootnoteReference"/>
        </w:rPr>
        <w:footnoteRef/>
      </w:r>
      <w:r>
        <w:tab/>
      </w:r>
      <w:r>
        <w:rPr>
          <w:sz w:val="18"/>
          <w:szCs w:val="18"/>
        </w:rPr>
        <w:t>DIA</w:t>
      </w:r>
      <w:r w:rsidRPr="0000169F">
        <w:rPr>
          <w:sz w:val="18"/>
          <w:szCs w:val="18"/>
        </w:rPr>
        <w:t>. Gambling Expenditure Statistics. URL:</w:t>
      </w:r>
      <w:r>
        <w:t xml:space="preserve"> </w:t>
      </w:r>
      <w:hyperlink r:id="rId1" w:history="1">
        <w:r w:rsidRPr="00495F2B">
          <w:rPr>
            <w:sz w:val="18"/>
            <w:szCs w:val="18"/>
          </w:rPr>
          <w:t>www.dia.govt.nz/diawebsite.nsf/wpg_URL/Resource-material-Information-We-Provide-Gambling-Expenditure-Statistics</w:t>
        </w:r>
      </w:hyperlink>
      <w:r>
        <w:rPr>
          <w:sz w:val="18"/>
          <w:szCs w:val="18"/>
        </w:rPr>
        <w:t xml:space="preserve"> (accessed 9 May 2019).</w:t>
      </w:r>
    </w:p>
  </w:footnote>
  <w:footnote w:id="3">
    <w:p w:rsidR="00F776F5" w:rsidRDefault="00F776F5" w:rsidP="0037495A">
      <w:pPr>
        <w:pStyle w:val="FootnoteText"/>
        <w:spacing w:before="0" w:line="240" w:lineRule="auto"/>
      </w:pPr>
      <w:r w:rsidRPr="003608D7">
        <w:rPr>
          <w:rStyle w:val="FootnoteReference"/>
        </w:rPr>
        <w:footnoteRef/>
      </w:r>
      <w:r>
        <w:tab/>
      </w:r>
      <w:r w:rsidRPr="000D164E">
        <w:t xml:space="preserve">The 2017 </w:t>
      </w:r>
      <w:r>
        <w:t xml:space="preserve">study </w:t>
      </w:r>
      <w:r w:rsidRPr="000D164E">
        <w:t xml:space="preserve">Measuring the Burden of Gambling Harm in New Zealand estimated </w:t>
      </w:r>
      <w:r>
        <w:t xml:space="preserve">that </w:t>
      </w:r>
      <w:r w:rsidRPr="000D164E">
        <w:t>years of life lost to incapacity as a result of harms from gambling was 161,928 in 2012. Of this number</w:t>
      </w:r>
      <w:r>
        <w:t>,</w:t>
      </w:r>
      <w:r w:rsidRPr="000D164E">
        <w:t xml:space="preserve"> 67,928 were lost to gamblers themselves and 94,729 were lost to people effected by someone else</w:t>
      </w:r>
      <w:r>
        <w:t>’</w:t>
      </w:r>
      <w:r w:rsidRPr="000D164E">
        <w:t>s gambling</w:t>
      </w:r>
      <w:r>
        <w:t>.</w:t>
      </w:r>
    </w:p>
  </w:footnote>
  <w:footnote w:id="4">
    <w:p w:rsidR="00F776F5" w:rsidRDefault="00F776F5" w:rsidP="0037495A">
      <w:pPr>
        <w:pStyle w:val="FootnoteText"/>
        <w:spacing w:before="0" w:line="240" w:lineRule="auto"/>
      </w:pPr>
      <w:r w:rsidRPr="003608D7">
        <w:rPr>
          <w:rStyle w:val="FootnoteReference"/>
        </w:rPr>
        <w:footnoteRef/>
      </w:r>
      <w:r>
        <w:tab/>
        <w:t>New Zealanders’ Participation in Gambling: Results from the 2016 Health and Lifestyles Survey meta-analysis.</w:t>
      </w:r>
    </w:p>
  </w:footnote>
  <w:footnote w:id="5">
    <w:p w:rsidR="00F776F5" w:rsidRDefault="00F776F5" w:rsidP="0037495A">
      <w:pPr>
        <w:pStyle w:val="FootnoteText"/>
        <w:spacing w:before="0"/>
      </w:pPr>
      <w:r w:rsidRPr="003608D7">
        <w:rPr>
          <w:rStyle w:val="FootnoteReference"/>
        </w:rPr>
        <w:footnoteRef/>
      </w:r>
      <w:r>
        <w:tab/>
        <w:t xml:space="preserve">Ministry of Health Intervention </w:t>
      </w:r>
      <w:hyperlink r:id="rId2" w:history="1">
        <w:r w:rsidRPr="00D010C3">
          <w:rPr>
            <w:rStyle w:val="Hyperlink"/>
            <w:rFonts w:eastAsia="MS Gothic"/>
          </w:rPr>
          <w:t>client data website</w:t>
        </w:r>
      </w:hyperlink>
      <w:r>
        <w:t xml:space="preserve">. </w:t>
      </w:r>
      <w:r w:rsidRPr="007155DB">
        <w:t>https://www.health.govt.nz/our-work/mental-health-and-addictions/gambling/service-user-data/intervention-client-data</w:t>
      </w:r>
    </w:p>
  </w:footnote>
  <w:footnote w:id="6">
    <w:p w:rsidR="00F776F5" w:rsidRDefault="00F776F5" w:rsidP="0088150A">
      <w:pPr>
        <w:pStyle w:val="FootnoteText"/>
      </w:pPr>
      <w:r w:rsidRPr="003608D7">
        <w:rPr>
          <w:rStyle w:val="FootnoteReference"/>
        </w:rPr>
        <w:footnoteRef/>
      </w:r>
      <w:r>
        <w:tab/>
      </w:r>
      <w:r w:rsidRPr="00E83D92">
        <w:t xml:space="preserve">This level of service use equates to approximately 16% of those in the moderate-risk and problem </w:t>
      </w:r>
      <w:r>
        <w:t xml:space="preserve">gambling </w:t>
      </w:r>
      <w:r w:rsidRPr="00E83D92">
        <w:t>categories.</w:t>
      </w:r>
      <w:r>
        <w:t xml:space="preserve"> </w:t>
      </w:r>
      <w:r w:rsidRPr="00E83D92">
        <w:t xml:space="preserve">Estimates of the number of </w:t>
      </w:r>
      <w:r>
        <w:t>‘</w:t>
      </w:r>
      <w:r w:rsidRPr="00E83D92">
        <w:t>problem gamblers</w:t>
      </w:r>
      <w:r>
        <w:t>’</w:t>
      </w:r>
      <w:r w:rsidRPr="00E83D92">
        <w:t xml:space="preserve"> (0.5%) and </w:t>
      </w:r>
      <w:r>
        <w:t>‘</w:t>
      </w:r>
      <w:r w:rsidRPr="00E83D92">
        <w:t>moderate-risk gamblers</w:t>
      </w:r>
      <w:r>
        <w:t>’</w:t>
      </w:r>
      <w:r w:rsidRPr="00E83D92">
        <w:t xml:space="preserve"> (1.5%) in the total New Zealand population over 15 years of age are approximately 23,000 and 60,000 people respectively (Thimasarn-Anwar et al 2017).</w:t>
      </w:r>
    </w:p>
  </w:footnote>
  <w:footnote w:id="7">
    <w:p w:rsidR="00F776F5" w:rsidRDefault="00F776F5" w:rsidP="00E411B9">
      <w:pPr>
        <w:pStyle w:val="FootnoteText"/>
      </w:pPr>
      <w:r w:rsidRPr="00E411B9">
        <w:rPr>
          <w:rStyle w:val="FootnoteReference"/>
        </w:rPr>
        <w:footnoteRef/>
      </w:r>
      <w:r>
        <w:tab/>
      </w:r>
      <w:hyperlink r:id="rId3" w:history="1">
        <w:r w:rsidRPr="00227299">
          <w:rPr>
            <w:rStyle w:val="Hyperlink"/>
            <w:rFonts w:eastAsia="MS Gothic"/>
            <w:b w:val="0"/>
          </w:rPr>
          <w:t>www.health.govt.nz/publication/gambling-harm-reduction-needs-assessment</w:t>
        </w:r>
      </w:hyperlink>
      <w:r>
        <w:t xml:space="preserve"> (accessed 17 November 2018).</w:t>
      </w:r>
    </w:p>
  </w:footnote>
  <w:footnote w:id="8">
    <w:p w:rsidR="00F776F5" w:rsidRDefault="00F776F5" w:rsidP="00E411B9">
      <w:pPr>
        <w:pStyle w:val="FootnoteText"/>
      </w:pPr>
      <w:r w:rsidRPr="00E411B9">
        <w:rPr>
          <w:rStyle w:val="FootnoteReference"/>
          <w:rFonts w:eastAsiaTheme="majorEastAsia"/>
        </w:rPr>
        <w:footnoteRef/>
      </w:r>
      <w:r>
        <w:tab/>
        <w:t>In this context, ‘the gambling sector’ includes commercial and non-commercial gambling operators (including NZRB and NZLC), member associations such as Clubs New Zealand Inc and Hospitality New Zealand, operators of gambling venues (including publicans and operators of retail outlets), providers of services to prevent and minimise gambling harm, and gambling researchers.</w:t>
      </w:r>
    </w:p>
  </w:footnote>
  <w:footnote w:id="9">
    <w:p w:rsidR="00F776F5" w:rsidRDefault="00F776F5" w:rsidP="00E411B9">
      <w:pPr>
        <w:pStyle w:val="FootnoteText"/>
      </w:pPr>
      <w:r w:rsidRPr="00E411B9">
        <w:rPr>
          <w:rStyle w:val="FootnoteReference"/>
        </w:rPr>
        <w:footnoteRef/>
      </w:r>
      <w:r>
        <w:tab/>
        <w:t>The estimates have been produced through the HLS – Gambling module and the NGS, both of which the Ministry funds through the gambling levy.</w:t>
      </w:r>
    </w:p>
  </w:footnote>
  <w:footnote w:id="10">
    <w:p w:rsidR="00F776F5" w:rsidRDefault="00F776F5" w:rsidP="00E411B9">
      <w:pPr>
        <w:pStyle w:val="FootnoteText"/>
      </w:pPr>
      <w:r w:rsidRPr="00E411B9">
        <w:rPr>
          <w:rStyle w:val="FootnoteReference"/>
        </w:rPr>
        <w:footnoteRef/>
      </w:r>
      <w:r>
        <w:tab/>
        <w:t xml:space="preserve">Based on NZDep 2013 census area units: University of Otago Wellington. </w:t>
      </w:r>
      <w:r w:rsidRPr="00B02B28">
        <w:t>Socioeconomic Deprivation Indexes: NZDep and NZiDep, Department of Public Health</w:t>
      </w:r>
      <w:r>
        <w:t xml:space="preserve">. URL: </w:t>
      </w:r>
      <w:hyperlink r:id="rId4" w:history="1">
        <w:r w:rsidRPr="002D3675">
          <w:rPr>
            <w:rStyle w:val="Hyperlink"/>
            <w:rFonts w:eastAsia="MS Gothic"/>
          </w:rPr>
          <w:t>www.otago.ac.nz/wellington/departments/publichealth/research/hirp/otago020194.html</w:t>
        </w:r>
      </w:hyperlink>
      <w:r>
        <w:t xml:space="preserve"> (accessed 17 November 2018).</w:t>
      </w:r>
    </w:p>
  </w:footnote>
  <w:footnote w:id="11">
    <w:p w:rsidR="00F776F5" w:rsidRDefault="00F776F5" w:rsidP="00F5734C">
      <w:pPr>
        <w:pStyle w:val="FootnoteText"/>
      </w:pPr>
      <w:r w:rsidRPr="00F5734C">
        <w:rPr>
          <w:rStyle w:val="FootnoteReference"/>
        </w:rPr>
        <w:footnoteRef/>
      </w:r>
      <w:r>
        <w:tab/>
        <w:t xml:space="preserve">As an example, Te Rau Matatini provides a practitioner resource for mana enhancing in the area of substance addiction: Te Rau Matatini. Mana Enhancing &amp; Mana Protecting Practice. URL: </w:t>
      </w:r>
      <w:hyperlink r:id="rId5" w:history="1">
        <w:r w:rsidRPr="002D3675">
          <w:rPr>
            <w:rStyle w:val="Hyperlink"/>
            <w:rFonts w:eastAsia="MS Gothic"/>
          </w:rPr>
          <w:t>http://teraumatatini.com/news/mana-enhancing-mana-protecting-practice</w:t>
        </w:r>
      </w:hyperlink>
      <w:r>
        <w:t xml:space="preserve"> (accessed 17 November 2018).</w:t>
      </w:r>
    </w:p>
  </w:footnote>
  <w:footnote w:id="12">
    <w:p w:rsidR="00F776F5" w:rsidRDefault="00F776F5" w:rsidP="00F5734C">
      <w:pPr>
        <w:pStyle w:val="FootnoteText"/>
      </w:pPr>
      <w:r w:rsidRPr="00F5734C">
        <w:rPr>
          <w:rStyle w:val="FootnoteReference"/>
        </w:rPr>
        <w:footnoteRef/>
      </w:r>
      <w:r>
        <w:tab/>
      </w:r>
      <w:hyperlink r:id="rId6" w:history="1">
        <w:r w:rsidRPr="00F5734C">
          <w:rPr>
            <w:rFonts w:eastAsia="MS Gothic"/>
          </w:rPr>
          <w:t>www.dia.govt.nz/diawebsite.nsf/wpg_URL/Services-Casino-and-Non-Casino-Gaming-Mystery-Shopper-campaign</w:t>
        </w:r>
      </w:hyperlink>
      <w:r>
        <w:t xml:space="preserve"> (accessed 19 November 2018).</w:t>
      </w:r>
    </w:p>
  </w:footnote>
  <w:footnote w:id="13">
    <w:p w:rsidR="00F776F5" w:rsidRDefault="00F776F5" w:rsidP="00B01F78">
      <w:pPr>
        <w:pStyle w:val="FootnoteText"/>
      </w:pPr>
      <w:r w:rsidRPr="00B01F78">
        <w:rPr>
          <w:rStyle w:val="FootnoteReference"/>
        </w:rPr>
        <w:footnoteRef/>
      </w:r>
      <w:r>
        <w:tab/>
      </w:r>
      <w:hyperlink r:id="rId7" w:history="1">
        <w:r w:rsidRPr="00553342">
          <w:rPr>
            <w:rStyle w:val="Hyperlink"/>
          </w:rPr>
          <w:t>www.choicenotchance.org.nz/the-latest-campaign</w:t>
        </w:r>
      </w:hyperlink>
      <w:r>
        <w:t xml:space="preserve"> (accessed 25 April 2019).</w:t>
      </w:r>
    </w:p>
  </w:footnote>
  <w:footnote w:id="14">
    <w:p w:rsidR="00F776F5" w:rsidRDefault="00F776F5">
      <w:pPr>
        <w:pStyle w:val="FootnoteText"/>
      </w:pPr>
      <w:r>
        <w:rPr>
          <w:rStyle w:val="FootnoteReference"/>
        </w:rPr>
        <w:footnoteRef/>
      </w:r>
      <w:r>
        <w:t xml:space="preserve"> Kupe Data Explorer </w:t>
      </w:r>
      <w:r w:rsidRPr="009035C9">
        <w:t>http://kupe.hpa.org.nz/</w:t>
      </w:r>
    </w:p>
  </w:footnote>
  <w:footnote w:id="15">
    <w:p w:rsidR="00F776F5" w:rsidRDefault="00F776F5" w:rsidP="002B4C78">
      <w:pPr>
        <w:pStyle w:val="FootnoteText"/>
      </w:pPr>
      <w:r>
        <w:rPr>
          <w:rStyle w:val="FootnoteReference"/>
        </w:rPr>
        <w:footnoteRef/>
      </w:r>
      <w:r>
        <w:tab/>
        <w:t>This engagement is a key expectation in the Ministry’s contracts with service providers.</w:t>
      </w:r>
    </w:p>
  </w:footnote>
  <w:footnote w:id="16">
    <w:p w:rsidR="00F776F5" w:rsidRDefault="00F776F5" w:rsidP="00826CCE">
      <w:pPr>
        <w:pStyle w:val="FootnoteText"/>
      </w:pPr>
      <w:r w:rsidRPr="00826CCE">
        <w:rPr>
          <w:rStyle w:val="FootnoteReference"/>
        </w:rPr>
        <w:footnoteRef/>
      </w:r>
      <w:r>
        <w:rPr>
          <w:b/>
        </w:rPr>
        <w:tab/>
      </w:r>
      <w:r w:rsidRPr="00D84F8C">
        <w:rPr>
          <w:b/>
        </w:rPr>
        <w:t>R</w:t>
      </w:r>
      <w:r>
        <w:t xml:space="preserve"> was added to the formula by section 107 of the </w:t>
      </w:r>
      <w:r w:rsidRPr="00CA7477">
        <w:t xml:space="preserve">Gambling Amendment </w:t>
      </w:r>
      <w:r>
        <w:t>Act 2015, which came into effect on 3 March 2015.</w:t>
      </w:r>
    </w:p>
  </w:footnote>
  <w:footnote w:id="17">
    <w:p w:rsidR="00F776F5" w:rsidRPr="00125B7B" w:rsidRDefault="00F776F5" w:rsidP="00826CCE">
      <w:pPr>
        <w:pStyle w:val="FootnoteText"/>
      </w:pPr>
      <w:r w:rsidRPr="00826CCE">
        <w:rPr>
          <w:rStyle w:val="FootnoteReference"/>
        </w:rPr>
        <w:footnoteRef/>
      </w:r>
      <w:r>
        <w:tab/>
        <w:t xml:space="preserve">The </w:t>
      </w:r>
      <w:r w:rsidRPr="00125B7B">
        <w:t xml:space="preserve">IRD provides gaming duty and problem gambling levy data to </w:t>
      </w:r>
      <w:r>
        <w:t xml:space="preserve">the </w:t>
      </w:r>
      <w:r w:rsidRPr="00125B7B">
        <w:t xml:space="preserve">DIA. The Tax Administration Act 1994 requires </w:t>
      </w:r>
      <w:r>
        <w:t>the IRD</w:t>
      </w:r>
      <w:r w:rsidRPr="00125B7B">
        <w:t xml:space="preserve"> to use </w:t>
      </w:r>
      <w:r>
        <w:t>its</w:t>
      </w:r>
      <w:r w:rsidRPr="00125B7B">
        <w:t xml:space="preserve"> best endeavours to protect the integrity of the tax system</w:t>
      </w:r>
      <w:r>
        <w:t xml:space="preserve"> by (among other things) </w:t>
      </w:r>
      <w:r w:rsidRPr="00125B7B">
        <w:t>maintain</w:t>
      </w:r>
      <w:r>
        <w:t>ing</w:t>
      </w:r>
      <w:r w:rsidRPr="00125B7B">
        <w:t xml:space="preserve"> the confidentiality of the affairs of taxpayers.</w:t>
      </w:r>
      <w:r>
        <w:t xml:space="preserve"> </w:t>
      </w:r>
    </w:p>
  </w:footnote>
  <w:footnote w:id="18">
    <w:p w:rsidR="00F776F5" w:rsidRDefault="00F776F5" w:rsidP="00D46E9E">
      <w:pPr>
        <w:pStyle w:val="FootnoteText"/>
      </w:pPr>
      <w:r w:rsidRPr="00FE7705">
        <w:rPr>
          <w:rStyle w:val="FootnoteReference"/>
        </w:rPr>
        <w:footnoteRef/>
      </w:r>
      <w:r>
        <w:tab/>
        <w:t xml:space="preserve">URL: </w:t>
      </w:r>
      <w:hyperlink r:id="rId8" w:history="1">
        <w:r w:rsidRPr="00FE7705">
          <w:rPr>
            <w:rFonts w:eastAsia="MS Gothic"/>
          </w:rPr>
          <w:t>www.dia.govt.nz/diawebsite.nsf/wpg_URL/Resource-material-Information-We-Provide-Summary-of-Venues-and-Numbers-by-Territorial-AuthorityDistrict</w:t>
        </w:r>
      </w:hyperlink>
      <w:r w:rsidRPr="00FE7705">
        <w:t xml:space="preserve"> (acc</w:t>
      </w:r>
      <w:r>
        <w:t>essed 6 November 2018).</w:t>
      </w:r>
    </w:p>
  </w:footnote>
  <w:footnote w:id="19">
    <w:p w:rsidR="00F776F5" w:rsidRDefault="00F776F5" w:rsidP="00FE7705">
      <w:pPr>
        <w:pStyle w:val="FootnoteText"/>
      </w:pPr>
      <w:r w:rsidRPr="00FE7705">
        <w:rPr>
          <w:rStyle w:val="FootnoteReference"/>
        </w:rPr>
        <w:footnoteRef/>
      </w:r>
      <w:r>
        <w:tab/>
        <w:t xml:space="preserve">URL: </w:t>
      </w:r>
      <w:hyperlink r:id="rId9" w:history="1">
        <w:r w:rsidRPr="00FE7705">
          <w:rPr>
            <w:rFonts w:eastAsia="MS Gothic"/>
          </w:rPr>
          <w:t>www.dia.govt.nz/diawebsite.nsf/wpg_URL/Resource-material-Information-We-Provide-Gambling-Expenditure-Statistics</w:t>
        </w:r>
      </w:hyperlink>
      <w:r w:rsidRPr="00FE7705">
        <w:t xml:space="preserve"> (accessed 6 No</w:t>
      </w:r>
      <w:r>
        <w:t>vember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F776F5" w:rsidTr="005A79E5">
      <w:trPr>
        <w:cantSplit/>
      </w:trPr>
      <w:tc>
        <w:tcPr>
          <w:tcW w:w="5210" w:type="dxa"/>
        </w:tcPr>
        <w:p w:rsidR="00F776F5" w:rsidRDefault="00F776F5" w:rsidP="003608D7">
          <w:pPr>
            <w:pStyle w:val="Header"/>
          </w:pPr>
          <w:r>
            <w:rPr>
              <w:noProof/>
              <w:lang w:eastAsia="en-NZ"/>
            </w:rPr>
            <w:drawing>
              <wp:inline distT="0" distB="0" distL="0" distR="0" wp14:anchorId="73A86C74" wp14:editId="1F55937B">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rsidR="00F776F5" w:rsidRDefault="00F776F5" w:rsidP="003608D7">
          <w:pPr>
            <w:pStyle w:val="Header"/>
            <w:jc w:val="right"/>
          </w:pPr>
          <w:r>
            <w:rPr>
              <w:noProof/>
              <w:lang w:eastAsia="en-NZ"/>
            </w:rPr>
            <w:drawing>
              <wp:inline distT="0" distB="0" distL="0" distR="0" wp14:anchorId="31079A8B" wp14:editId="0BC09D91">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rsidR="00F776F5" w:rsidRDefault="00F776F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rsidP="00533B9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rsidP="0090019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6F5" w:rsidRDefault="00F776F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E92775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4A60DF7"/>
    <w:multiLevelType w:val="hybridMultilevel"/>
    <w:tmpl w:val="C4FC8C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9F406EB"/>
    <w:multiLevelType w:val="hybridMultilevel"/>
    <w:tmpl w:val="1CFEA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3040A86"/>
    <w:multiLevelType w:val="hybridMultilevel"/>
    <w:tmpl w:val="CAF6C98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552B9D"/>
    <w:multiLevelType w:val="hybridMultilevel"/>
    <w:tmpl w:val="135C367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1AC5BCC"/>
    <w:multiLevelType w:val="multilevel"/>
    <w:tmpl w:val="A5BA4620"/>
    <w:lvl w:ilvl="0">
      <w:start w:val="1"/>
      <w:numFmt w:val="decimal"/>
      <w:pStyle w:val="CabStandard"/>
      <w:lvlText w:val="%1"/>
      <w:lvlJc w:val="left"/>
      <w:pPr>
        <w:tabs>
          <w:tab w:val="num" w:pos="1077"/>
        </w:tabs>
        <w:ind w:left="1077" w:hanging="720"/>
      </w:pPr>
      <w:rPr>
        <w:rFonts w:hint="default"/>
        <w:b w:val="0"/>
      </w:rPr>
    </w:lvl>
    <w:lvl w:ilvl="1">
      <w:start w:val="1"/>
      <w:numFmt w:val="decimal"/>
      <w:lvlText w:val="%1.%2"/>
      <w:lvlJc w:val="left"/>
      <w:pPr>
        <w:tabs>
          <w:tab w:val="num" w:pos="1797"/>
        </w:tabs>
        <w:ind w:left="1797" w:hanging="720"/>
      </w:pPr>
      <w:rPr>
        <w:rFonts w:hint="default"/>
      </w:rPr>
    </w:lvl>
    <w:lvl w:ilvl="2">
      <w:start w:val="1"/>
      <w:numFmt w:val="decimal"/>
      <w:lvlText w:val="%1.%2.%3"/>
      <w:lvlJc w:val="left"/>
      <w:pPr>
        <w:tabs>
          <w:tab w:val="num" w:pos="2767"/>
        </w:tabs>
        <w:ind w:left="2767" w:hanging="970"/>
      </w:pPr>
      <w:rPr>
        <w:rFonts w:hint="default"/>
      </w:rPr>
    </w:lvl>
    <w:lvl w:ilvl="3">
      <w:start w:val="1"/>
      <w:numFmt w:val="decimal"/>
      <w:lvlText w:val="%1.%2.%3.%4"/>
      <w:lvlJc w:val="left"/>
      <w:pPr>
        <w:tabs>
          <w:tab w:val="num" w:pos="3929"/>
        </w:tabs>
        <w:ind w:left="3929" w:hanging="1162"/>
      </w:pPr>
      <w:rPr>
        <w:rFonts w:hint="default"/>
      </w:rPr>
    </w:lvl>
    <w:lvl w:ilvl="4">
      <w:start w:val="1"/>
      <w:numFmt w:val="decimal"/>
      <w:lvlText w:val="%1.%2.%3.%4.%5"/>
      <w:lvlJc w:val="left"/>
      <w:pPr>
        <w:tabs>
          <w:tab w:val="num" w:pos="5233"/>
        </w:tabs>
        <w:ind w:left="5233" w:hanging="1304"/>
      </w:pPr>
      <w:rPr>
        <w:rFonts w:hint="default"/>
      </w:rPr>
    </w:lvl>
    <w:lvl w:ilvl="5">
      <w:start w:val="1"/>
      <w:numFmt w:val="decimal"/>
      <w:lvlText w:val="(%6)"/>
      <w:lvlJc w:val="left"/>
      <w:pPr>
        <w:tabs>
          <w:tab w:val="num" w:pos="2517"/>
        </w:tabs>
        <w:ind w:left="2517" w:hanging="363"/>
      </w:pPr>
      <w:rPr>
        <w:rFonts w:hint="default"/>
      </w:rPr>
    </w:lvl>
    <w:lvl w:ilvl="6">
      <w:start w:val="1"/>
      <w:numFmt w:val="lowerRoman"/>
      <w:lvlText w:val="%7)"/>
      <w:lvlJc w:val="left"/>
      <w:pPr>
        <w:tabs>
          <w:tab w:val="num" w:pos="3237"/>
        </w:tabs>
        <w:ind w:left="2874" w:hanging="357"/>
      </w:pPr>
      <w:rPr>
        <w:rFonts w:hint="default"/>
      </w:rPr>
    </w:lvl>
    <w:lvl w:ilvl="7">
      <w:start w:val="1"/>
      <w:numFmt w:val="lowerLetter"/>
      <w:lvlText w:val="%8)"/>
      <w:lvlJc w:val="left"/>
      <w:pPr>
        <w:tabs>
          <w:tab w:val="num" w:pos="3237"/>
        </w:tabs>
        <w:ind w:left="3237" w:hanging="363"/>
      </w:pPr>
      <w:rPr>
        <w:rFonts w:hint="default"/>
      </w:rPr>
    </w:lvl>
    <w:lvl w:ilvl="8">
      <w:start w:val="1"/>
      <w:numFmt w:val="lowerRoman"/>
      <w:lvlText w:val="%9."/>
      <w:lvlJc w:val="left"/>
      <w:pPr>
        <w:tabs>
          <w:tab w:val="num" w:pos="3594"/>
        </w:tabs>
        <w:ind w:left="3594" w:hanging="357"/>
      </w:pPr>
      <w:rPr>
        <w:rFonts w:hint="default"/>
      </w:rPr>
    </w:lvl>
  </w:abstractNum>
  <w:abstractNum w:abstractNumId="8" w15:restartNumberingAfterBreak="0">
    <w:nsid w:val="36C43A02"/>
    <w:multiLevelType w:val="multilevel"/>
    <w:tmpl w:val="69FAFA5A"/>
    <w:lvl w:ilvl="0">
      <w:start w:val="1"/>
      <w:numFmt w:val="decimal"/>
      <w:lvlText w:val="%1"/>
      <w:lvlJc w:val="left"/>
      <w:pPr>
        <w:ind w:left="360" w:hanging="360"/>
      </w:pPr>
      <w:rPr>
        <w:rFonts w:hint="default"/>
        <w:i w:val="0"/>
        <w:strike w:val="0"/>
      </w:rPr>
    </w:lvl>
    <w:lvl w:ilvl="1">
      <w:start w:val="1"/>
      <w:numFmt w:val="decimal"/>
      <w:lvlText w:val="%1.%2"/>
      <w:lvlJc w:val="left"/>
      <w:pPr>
        <w:ind w:left="716"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AFE7187"/>
    <w:multiLevelType w:val="hybridMultilevel"/>
    <w:tmpl w:val="0D6078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C6E1049"/>
    <w:multiLevelType w:val="hybridMultilevel"/>
    <w:tmpl w:val="0B3651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047E03"/>
    <w:multiLevelType w:val="hybridMultilevel"/>
    <w:tmpl w:val="21E4AC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202CF8"/>
    <w:multiLevelType w:val="hybridMultilevel"/>
    <w:tmpl w:val="C7A81BE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BBA5FC5"/>
    <w:multiLevelType w:val="hybridMultilevel"/>
    <w:tmpl w:val="81AC4160"/>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BD37EBC"/>
    <w:multiLevelType w:val="hybridMultilevel"/>
    <w:tmpl w:val="7E2A969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55547B8"/>
    <w:multiLevelType w:val="multilevel"/>
    <w:tmpl w:val="7B78483C"/>
    <w:lvl w:ilvl="0">
      <w:start w:val="1"/>
      <w:numFmt w:val="decimal"/>
      <w:lvlText w:val="%1"/>
      <w:lvlJc w:val="left"/>
      <w:pPr>
        <w:ind w:left="993" w:hanging="851"/>
      </w:pPr>
      <w:rPr>
        <w:rFonts w:hint="default"/>
      </w:rPr>
    </w:lvl>
    <w:lvl w:ilvl="1">
      <w:start w:val="1"/>
      <w:numFmt w:val="decimal"/>
      <w:lvlText w:val="%1.%2"/>
      <w:lvlJc w:val="left"/>
      <w:pPr>
        <w:ind w:left="851" w:hanging="851"/>
      </w:pPr>
      <w:rPr>
        <w:rFonts w:hint="default"/>
      </w:rPr>
    </w:lvl>
    <w:lvl w:ilvl="2">
      <w:start w:val="1"/>
      <w:numFmt w:val="decimal"/>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AE760BF"/>
    <w:multiLevelType w:val="hybridMultilevel"/>
    <w:tmpl w:val="B276EA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6D2D38FC"/>
    <w:multiLevelType w:val="hybridMultilevel"/>
    <w:tmpl w:val="C87002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6D470A76"/>
    <w:multiLevelType w:val="multilevel"/>
    <w:tmpl w:val="B22CF9FE"/>
    <w:lvl w:ilvl="0">
      <w:start w:val="1"/>
      <w:numFmt w:val="decimal"/>
      <w:pStyle w:val="Heading1"/>
      <w:lvlText w:val="%1"/>
      <w:lvlJc w:val="left"/>
      <w:pPr>
        <w:ind w:left="992" w:hanging="992"/>
      </w:pPr>
      <w:rPr>
        <w:rFonts w:hint="default"/>
      </w:rPr>
    </w:lvl>
    <w:lvl w:ilvl="1">
      <w:start w:val="1"/>
      <w:numFmt w:val="decimal"/>
      <w:pStyle w:val="Heading2"/>
      <w:lvlText w:val="%1.%2"/>
      <w:lvlJc w:val="left"/>
      <w:pPr>
        <w:ind w:left="992" w:hanging="992"/>
      </w:pPr>
      <w:rPr>
        <w:rFonts w:hint="default"/>
      </w:rPr>
    </w:lvl>
    <w:lvl w:ilvl="2">
      <w:start w:val="1"/>
      <w:numFmt w:val="decimal"/>
      <w:pStyle w:val="Heading3"/>
      <w:lvlText w:val="%1.%2.%3"/>
      <w:lvlJc w:val="left"/>
      <w:pPr>
        <w:ind w:left="1134"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D8F5B3B"/>
    <w:multiLevelType w:val="multilevel"/>
    <w:tmpl w:val="488EBDE0"/>
    <w:lvl w:ilvl="0">
      <w:start w:val="1"/>
      <w:numFmt w:val="decimal"/>
      <w:lvlText w:val="%1."/>
      <w:lvlJc w:val="left"/>
      <w:pPr>
        <w:ind w:left="567" w:hanging="567"/>
      </w:pPr>
      <w:rPr>
        <w:rFonts w:hint="default"/>
        <w:b w:val="0"/>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E5A373B"/>
    <w:multiLevelType w:val="hybridMultilevel"/>
    <w:tmpl w:val="199856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23"/>
  </w:num>
  <w:num w:numId="2">
    <w:abstractNumId w:val="11"/>
  </w:num>
  <w:num w:numId="3">
    <w:abstractNumId w:val="13"/>
  </w:num>
  <w:num w:numId="4">
    <w:abstractNumId w:val="1"/>
  </w:num>
  <w:num w:numId="5">
    <w:abstractNumId w:val="5"/>
  </w:num>
  <w:num w:numId="6">
    <w:abstractNumId w:val="20"/>
  </w:num>
  <w:num w:numId="7">
    <w:abstractNumId w:val="17"/>
  </w:num>
  <w:num w:numId="8">
    <w:abstractNumId w:val="14"/>
  </w:num>
  <w:num w:numId="9">
    <w:abstractNumId w:val="22"/>
  </w:num>
  <w:num w:numId="10">
    <w:abstractNumId w:val="12"/>
  </w:num>
  <w:num w:numId="11">
    <w:abstractNumId w:val="3"/>
  </w:num>
  <w:num w:numId="12">
    <w:abstractNumId w:val="23"/>
  </w:num>
  <w:num w:numId="13">
    <w:abstractNumId w:val="9"/>
  </w:num>
  <w:num w:numId="14">
    <w:abstractNumId w:val="20"/>
  </w:num>
  <w:num w:numId="15">
    <w:abstractNumId w:val="20"/>
  </w:num>
  <w:num w:numId="16">
    <w:abstractNumId w:val="20"/>
  </w:num>
  <w:num w:numId="17">
    <w:abstractNumId w:val="20"/>
  </w:num>
  <w:num w:numId="18">
    <w:abstractNumId w:val="20"/>
  </w:num>
  <w:num w:numId="19">
    <w:abstractNumId w:val="7"/>
  </w:num>
  <w:num w:numId="20">
    <w:abstractNumId w:val="8"/>
  </w:num>
  <w:num w:numId="21">
    <w:abstractNumId w:val="21"/>
  </w:num>
  <w:num w:numId="22">
    <w:abstractNumId w:val="20"/>
  </w:num>
  <w:num w:numId="23">
    <w:abstractNumId w:val="20"/>
  </w:num>
  <w:num w:numId="24">
    <w:abstractNumId w:val="20"/>
  </w:num>
  <w:num w:numId="25">
    <w:abstractNumId w:val="23"/>
  </w:num>
  <w:num w:numId="26">
    <w:abstractNumId w:val="10"/>
  </w:num>
  <w:num w:numId="27">
    <w:abstractNumId w:val="11"/>
  </w:num>
  <w:num w:numId="28">
    <w:abstractNumId w:val="20"/>
  </w:num>
  <w:num w:numId="29">
    <w:abstractNumId w:val="4"/>
  </w:num>
  <w:num w:numId="30">
    <w:abstractNumId w:val="19"/>
  </w:num>
  <w:num w:numId="31">
    <w:abstractNumId w:val="18"/>
  </w:num>
  <w:num w:numId="32">
    <w:abstractNumId w:val="16"/>
  </w:num>
  <w:num w:numId="33">
    <w:abstractNumId w:val="15"/>
  </w:num>
  <w:num w:numId="34">
    <w:abstractNumId w:val="2"/>
  </w:num>
  <w:num w:numId="35">
    <w:abstractNumId w:val="23"/>
  </w:num>
  <w:num w:numId="36">
    <w:abstractNumId w:val="0"/>
  </w:num>
  <w:num w:numId="37">
    <w:abstractNumId w:val="6"/>
  </w:num>
  <w:num w:numId="38">
    <w:abstractNumId w:val="20"/>
  </w:num>
  <w:num w:numId="39">
    <w:abstractNumId w:val="20"/>
  </w:num>
  <w:num w:numId="40">
    <w:abstractNumId w:val="20"/>
  </w:num>
  <w:num w:numId="41">
    <w:abstractNumId w:val="20"/>
  </w:num>
  <w:num w:numId="42">
    <w:abstractNumId w:val="20"/>
  </w:num>
  <w:num w:numId="43">
    <w:abstractNumId w:val="20"/>
  </w:num>
  <w:num w:numId="44">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25B8"/>
    <w:rsid w:val="0002049A"/>
    <w:rsid w:val="00025A6F"/>
    <w:rsid w:val="0002618D"/>
    <w:rsid w:val="0003065A"/>
    <w:rsid w:val="00030B26"/>
    <w:rsid w:val="00030E84"/>
    <w:rsid w:val="00032C0A"/>
    <w:rsid w:val="00035257"/>
    <w:rsid w:val="00035D68"/>
    <w:rsid w:val="0003683A"/>
    <w:rsid w:val="00044CAE"/>
    <w:rsid w:val="00054852"/>
    <w:rsid w:val="00054B44"/>
    <w:rsid w:val="00057845"/>
    <w:rsid w:val="00057902"/>
    <w:rsid w:val="0006228D"/>
    <w:rsid w:val="0006307B"/>
    <w:rsid w:val="00072BD6"/>
    <w:rsid w:val="00075B78"/>
    <w:rsid w:val="00076DA6"/>
    <w:rsid w:val="00082CD6"/>
    <w:rsid w:val="0008437D"/>
    <w:rsid w:val="00085AFE"/>
    <w:rsid w:val="00094800"/>
    <w:rsid w:val="000951BC"/>
    <w:rsid w:val="00097974"/>
    <w:rsid w:val="000A1BD5"/>
    <w:rsid w:val="000A6699"/>
    <w:rsid w:val="000A7F68"/>
    <w:rsid w:val="000B0730"/>
    <w:rsid w:val="000B0D60"/>
    <w:rsid w:val="000B2377"/>
    <w:rsid w:val="000B3F43"/>
    <w:rsid w:val="000B5525"/>
    <w:rsid w:val="000B726F"/>
    <w:rsid w:val="000C68A8"/>
    <w:rsid w:val="000C7AC1"/>
    <w:rsid w:val="000D19F4"/>
    <w:rsid w:val="000D28F5"/>
    <w:rsid w:val="000D58DD"/>
    <w:rsid w:val="000D69A1"/>
    <w:rsid w:val="000E1ED7"/>
    <w:rsid w:val="000F2AB2"/>
    <w:rsid w:val="000F2AE2"/>
    <w:rsid w:val="000F2BFF"/>
    <w:rsid w:val="000F4A70"/>
    <w:rsid w:val="00102063"/>
    <w:rsid w:val="0010276F"/>
    <w:rsid w:val="00104C6A"/>
    <w:rsid w:val="0010541C"/>
    <w:rsid w:val="00106F93"/>
    <w:rsid w:val="00107412"/>
    <w:rsid w:val="001108A5"/>
    <w:rsid w:val="00111D50"/>
    <w:rsid w:val="00113B8E"/>
    <w:rsid w:val="00117054"/>
    <w:rsid w:val="00117778"/>
    <w:rsid w:val="0012053C"/>
    <w:rsid w:val="00122363"/>
    <w:rsid w:val="0012486B"/>
    <w:rsid w:val="00130A6B"/>
    <w:rsid w:val="00133362"/>
    <w:rsid w:val="001342C7"/>
    <w:rsid w:val="0013585C"/>
    <w:rsid w:val="00142261"/>
    <w:rsid w:val="00142954"/>
    <w:rsid w:val="001460E0"/>
    <w:rsid w:val="001472F0"/>
    <w:rsid w:val="00147F71"/>
    <w:rsid w:val="00150A6E"/>
    <w:rsid w:val="00151F15"/>
    <w:rsid w:val="0016468A"/>
    <w:rsid w:val="001651E3"/>
    <w:rsid w:val="00167B61"/>
    <w:rsid w:val="001728B6"/>
    <w:rsid w:val="00174BD2"/>
    <w:rsid w:val="0018662D"/>
    <w:rsid w:val="00193737"/>
    <w:rsid w:val="0019423E"/>
    <w:rsid w:val="00197427"/>
    <w:rsid w:val="001A21B4"/>
    <w:rsid w:val="001A3414"/>
    <w:rsid w:val="001A5CF5"/>
    <w:rsid w:val="001A7386"/>
    <w:rsid w:val="001B39D2"/>
    <w:rsid w:val="001B4BF8"/>
    <w:rsid w:val="001C0284"/>
    <w:rsid w:val="001C4326"/>
    <w:rsid w:val="001C665E"/>
    <w:rsid w:val="001D3541"/>
    <w:rsid w:val="001D3E4E"/>
    <w:rsid w:val="001D6AF8"/>
    <w:rsid w:val="001D6DCC"/>
    <w:rsid w:val="001E254A"/>
    <w:rsid w:val="001E7386"/>
    <w:rsid w:val="001E74B0"/>
    <w:rsid w:val="001E7AD2"/>
    <w:rsid w:val="001E7E29"/>
    <w:rsid w:val="001F45A7"/>
    <w:rsid w:val="001F7948"/>
    <w:rsid w:val="00200481"/>
    <w:rsid w:val="00201A01"/>
    <w:rsid w:val="00205A7B"/>
    <w:rsid w:val="00206CF7"/>
    <w:rsid w:val="0020754B"/>
    <w:rsid w:val="002104D3"/>
    <w:rsid w:val="00213A33"/>
    <w:rsid w:val="00213B7A"/>
    <w:rsid w:val="0021763B"/>
    <w:rsid w:val="00222302"/>
    <w:rsid w:val="00227299"/>
    <w:rsid w:val="00227B7C"/>
    <w:rsid w:val="00231824"/>
    <w:rsid w:val="0023574A"/>
    <w:rsid w:val="002408D6"/>
    <w:rsid w:val="00243E10"/>
    <w:rsid w:val="00246DB1"/>
    <w:rsid w:val="002474C2"/>
    <w:rsid w:val="002476B5"/>
    <w:rsid w:val="002520CC"/>
    <w:rsid w:val="002521CD"/>
    <w:rsid w:val="00252A53"/>
    <w:rsid w:val="00253ECF"/>
    <w:rsid w:val="002546A1"/>
    <w:rsid w:val="00256D05"/>
    <w:rsid w:val="002628F4"/>
    <w:rsid w:val="002708EC"/>
    <w:rsid w:val="002753D8"/>
    <w:rsid w:val="00275D08"/>
    <w:rsid w:val="00281081"/>
    <w:rsid w:val="002858E3"/>
    <w:rsid w:val="002876D1"/>
    <w:rsid w:val="00290BA6"/>
    <w:rsid w:val="0029190A"/>
    <w:rsid w:val="00292C5A"/>
    <w:rsid w:val="00295241"/>
    <w:rsid w:val="002A4DFC"/>
    <w:rsid w:val="002B047D"/>
    <w:rsid w:val="002B4C78"/>
    <w:rsid w:val="002B732B"/>
    <w:rsid w:val="002B76A7"/>
    <w:rsid w:val="002C2219"/>
    <w:rsid w:val="002C224F"/>
    <w:rsid w:val="002C2552"/>
    <w:rsid w:val="002D0DF2"/>
    <w:rsid w:val="002D1CC7"/>
    <w:rsid w:val="002D23BD"/>
    <w:rsid w:val="002D48C7"/>
    <w:rsid w:val="002D5205"/>
    <w:rsid w:val="002D6E9C"/>
    <w:rsid w:val="002E0B47"/>
    <w:rsid w:val="002E146B"/>
    <w:rsid w:val="002E22A7"/>
    <w:rsid w:val="002F4685"/>
    <w:rsid w:val="002F7213"/>
    <w:rsid w:val="003012D5"/>
    <w:rsid w:val="003021B1"/>
    <w:rsid w:val="0030382F"/>
    <w:rsid w:val="00303B78"/>
    <w:rsid w:val="0030408D"/>
    <w:rsid w:val="003060E4"/>
    <w:rsid w:val="00313DE0"/>
    <w:rsid w:val="003160E7"/>
    <w:rsid w:val="0031739E"/>
    <w:rsid w:val="003218CC"/>
    <w:rsid w:val="0032295B"/>
    <w:rsid w:val="00322A10"/>
    <w:rsid w:val="00322E9B"/>
    <w:rsid w:val="003309CA"/>
    <w:rsid w:val="00331D74"/>
    <w:rsid w:val="00332421"/>
    <w:rsid w:val="003325AB"/>
    <w:rsid w:val="003332D1"/>
    <w:rsid w:val="0033412B"/>
    <w:rsid w:val="00341161"/>
    <w:rsid w:val="00343365"/>
    <w:rsid w:val="003445F4"/>
    <w:rsid w:val="0034469C"/>
    <w:rsid w:val="0034561D"/>
    <w:rsid w:val="00347375"/>
    <w:rsid w:val="00350632"/>
    <w:rsid w:val="00353501"/>
    <w:rsid w:val="00353734"/>
    <w:rsid w:val="00353DA0"/>
    <w:rsid w:val="003606F8"/>
    <w:rsid w:val="003608D7"/>
    <w:rsid w:val="00361B49"/>
    <w:rsid w:val="00363AB1"/>
    <w:rsid w:val="003648EF"/>
    <w:rsid w:val="00364DB1"/>
    <w:rsid w:val="003673E6"/>
    <w:rsid w:val="00367BF2"/>
    <w:rsid w:val="00372802"/>
    <w:rsid w:val="0037495A"/>
    <w:rsid w:val="003768C3"/>
    <w:rsid w:val="00377264"/>
    <w:rsid w:val="003779D2"/>
    <w:rsid w:val="00383AF3"/>
    <w:rsid w:val="00385E38"/>
    <w:rsid w:val="00385E5C"/>
    <w:rsid w:val="00387AF6"/>
    <w:rsid w:val="00393870"/>
    <w:rsid w:val="003A26A5"/>
    <w:rsid w:val="003A3761"/>
    <w:rsid w:val="003A4B7D"/>
    <w:rsid w:val="003A512D"/>
    <w:rsid w:val="003A5FEA"/>
    <w:rsid w:val="003B08CF"/>
    <w:rsid w:val="003B1D10"/>
    <w:rsid w:val="003B58FC"/>
    <w:rsid w:val="003B59E9"/>
    <w:rsid w:val="003C065E"/>
    <w:rsid w:val="003C3EAE"/>
    <w:rsid w:val="003C76D4"/>
    <w:rsid w:val="003D137D"/>
    <w:rsid w:val="003D2CC5"/>
    <w:rsid w:val="003D7480"/>
    <w:rsid w:val="003E04C1"/>
    <w:rsid w:val="003E0887"/>
    <w:rsid w:val="003E2753"/>
    <w:rsid w:val="003E2EAF"/>
    <w:rsid w:val="003E74C8"/>
    <w:rsid w:val="003E7C46"/>
    <w:rsid w:val="003F1A3D"/>
    <w:rsid w:val="003F2106"/>
    <w:rsid w:val="003F217A"/>
    <w:rsid w:val="003F52A7"/>
    <w:rsid w:val="003F611C"/>
    <w:rsid w:val="003F7013"/>
    <w:rsid w:val="00401591"/>
    <w:rsid w:val="0040240C"/>
    <w:rsid w:val="00413021"/>
    <w:rsid w:val="0041671F"/>
    <w:rsid w:val="0041794A"/>
    <w:rsid w:val="00417D02"/>
    <w:rsid w:val="004301C6"/>
    <w:rsid w:val="0043478F"/>
    <w:rsid w:val="004354CD"/>
    <w:rsid w:val="0043602B"/>
    <w:rsid w:val="00440BE0"/>
    <w:rsid w:val="00441E69"/>
    <w:rsid w:val="00442094"/>
    <w:rsid w:val="00442C1C"/>
    <w:rsid w:val="00443347"/>
    <w:rsid w:val="00444F1F"/>
    <w:rsid w:val="0044584B"/>
    <w:rsid w:val="00447CB7"/>
    <w:rsid w:val="00455CC9"/>
    <w:rsid w:val="00460826"/>
    <w:rsid w:val="00460EA7"/>
    <w:rsid w:val="0046195B"/>
    <w:rsid w:val="00463490"/>
    <w:rsid w:val="0046362D"/>
    <w:rsid w:val="0046596D"/>
    <w:rsid w:val="00466524"/>
    <w:rsid w:val="004734BC"/>
    <w:rsid w:val="00474197"/>
    <w:rsid w:val="004854FA"/>
    <w:rsid w:val="00487C04"/>
    <w:rsid w:val="004907E1"/>
    <w:rsid w:val="00491F5A"/>
    <w:rsid w:val="004A035B"/>
    <w:rsid w:val="004A1509"/>
    <w:rsid w:val="004A2108"/>
    <w:rsid w:val="004A38D7"/>
    <w:rsid w:val="004A6BC1"/>
    <w:rsid w:val="004A778C"/>
    <w:rsid w:val="004B0B0C"/>
    <w:rsid w:val="004B3E84"/>
    <w:rsid w:val="004B48C7"/>
    <w:rsid w:val="004C050C"/>
    <w:rsid w:val="004C2E6A"/>
    <w:rsid w:val="004C64B8"/>
    <w:rsid w:val="004D07D8"/>
    <w:rsid w:val="004D2A2D"/>
    <w:rsid w:val="004D2B40"/>
    <w:rsid w:val="004D4F19"/>
    <w:rsid w:val="004D6689"/>
    <w:rsid w:val="004D7A2C"/>
    <w:rsid w:val="004E0EC1"/>
    <w:rsid w:val="004E1D1D"/>
    <w:rsid w:val="004E6292"/>
    <w:rsid w:val="004E7AC8"/>
    <w:rsid w:val="004F0C94"/>
    <w:rsid w:val="004F666E"/>
    <w:rsid w:val="004F6BB6"/>
    <w:rsid w:val="005019AE"/>
    <w:rsid w:val="0050335C"/>
    <w:rsid w:val="00503749"/>
    <w:rsid w:val="00504CF4"/>
    <w:rsid w:val="00505CEE"/>
    <w:rsid w:val="0050635B"/>
    <w:rsid w:val="00507077"/>
    <w:rsid w:val="00512407"/>
    <w:rsid w:val="005151C2"/>
    <w:rsid w:val="00525756"/>
    <w:rsid w:val="00525EFA"/>
    <w:rsid w:val="005275AF"/>
    <w:rsid w:val="00527954"/>
    <w:rsid w:val="0053199F"/>
    <w:rsid w:val="00531A8A"/>
    <w:rsid w:val="005337FA"/>
    <w:rsid w:val="00533B90"/>
    <w:rsid w:val="00537513"/>
    <w:rsid w:val="00537B15"/>
    <w:rsid w:val="005410F8"/>
    <w:rsid w:val="005411EF"/>
    <w:rsid w:val="005414CC"/>
    <w:rsid w:val="005448EC"/>
    <w:rsid w:val="00545963"/>
    <w:rsid w:val="00550256"/>
    <w:rsid w:val="00553165"/>
    <w:rsid w:val="00553958"/>
    <w:rsid w:val="00554A61"/>
    <w:rsid w:val="00556BB7"/>
    <w:rsid w:val="0055763D"/>
    <w:rsid w:val="00561516"/>
    <w:rsid w:val="005621F2"/>
    <w:rsid w:val="00567B58"/>
    <w:rsid w:val="00571223"/>
    <w:rsid w:val="00573A22"/>
    <w:rsid w:val="005763E0"/>
    <w:rsid w:val="00577AC8"/>
    <w:rsid w:val="00581136"/>
    <w:rsid w:val="00581EB8"/>
    <w:rsid w:val="0058281D"/>
    <w:rsid w:val="00582CC7"/>
    <w:rsid w:val="00586D61"/>
    <w:rsid w:val="00592A61"/>
    <w:rsid w:val="005A26D2"/>
    <w:rsid w:val="005A27CA"/>
    <w:rsid w:val="005A43BD"/>
    <w:rsid w:val="005A4E71"/>
    <w:rsid w:val="005A79E5"/>
    <w:rsid w:val="005B0A8A"/>
    <w:rsid w:val="005B1A37"/>
    <w:rsid w:val="005B567C"/>
    <w:rsid w:val="005B729D"/>
    <w:rsid w:val="005C081A"/>
    <w:rsid w:val="005C23DB"/>
    <w:rsid w:val="005C7F55"/>
    <w:rsid w:val="005D034C"/>
    <w:rsid w:val="005D10E0"/>
    <w:rsid w:val="005D4A5D"/>
    <w:rsid w:val="005D6B45"/>
    <w:rsid w:val="005E226E"/>
    <w:rsid w:val="005E2636"/>
    <w:rsid w:val="005E3E72"/>
    <w:rsid w:val="005E4DC3"/>
    <w:rsid w:val="005E64FA"/>
    <w:rsid w:val="005E7FF4"/>
    <w:rsid w:val="005F168C"/>
    <w:rsid w:val="005F1E69"/>
    <w:rsid w:val="005F50B0"/>
    <w:rsid w:val="005F7361"/>
    <w:rsid w:val="006015D7"/>
    <w:rsid w:val="00601B21"/>
    <w:rsid w:val="00603E17"/>
    <w:rsid w:val="00604089"/>
    <w:rsid w:val="006041F0"/>
    <w:rsid w:val="00605C6D"/>
    <w:rsid w:val="006120CA"/>
    <w:rsid w:val="00616EE2"/>
    <w:rsid w:val="0062363F"/>
    <w:rsid w:val="00624174"/>
    <w:rsid w:val="00626CF8"/>
    <w:rsid w:val="006314AF"/>
    <w:rsid w:val="00634ED8"/>
    <w:rsid w:val="00636D7D"/>
    <w:rsid w:val="00637408"/>
    <w:rsid w:val="00641271"/>
    <w:rsid w:val="00641B83"/>
    <w:rsid w:val="00642868"/>
    <w:rsid w:val="00643EE8"/>
    <w:rsid w:val="00647AFE"/>
    <w:rsid w:val="006512BC"/>
    <w:rsid w:val="006515A9"/>
    <w:rsid w:val="00652CE2"/>
    <w:rsid w:val="006536C0"/>
    <w:rsid w:val="00653A5A"/>
    <w:rsid w:val="00656A87"/>
    <w:rsid w:val="006574C7"/>
    <w:rsid w:val="006575F4"/>
    <w:rsid w:val="006579E6"/>
    <w:rsid w:val="00660682"/>
    <w:rsid w:val="00660F74"/>
    <w:rsid w:val="00663EDC"/>
    <w:rsid w:val="00666D75"/>
    <w:rsid w:val="00671078"/>
    <w:rsid w:val="00671927"/>
    <w:rsid w:val="0067217D"/>
    <w:rsid w:val="006758CA"/>
    <w:rsid w:val="006762EC"/>
    <w:rsid w:val="00677628"/>
    <w:rsid w:val="00680A04"/>
    <w:rsid w:val="00683C58"/>
    <w:rsid w:val="006857EF"/>
    <w:rsid w:val="00686D80"/>
    <w:rsid w:val="00687171"/>
    <w:rsid w:val="006872FA"/>
    <w:rsid w:val="00694895"/>
    <w:rsid w:val="00697E2E"/>
    <w:rsid w:val="006A25A2"/>
    <w:rsid w:val="006A3B87"/>
    <w:rsid w:val="006B0E73"/>
    <w:rsid w:val="006B1E3D"/>
    <w:rsid w:val="006B4A4D"/>
    <w:rsid w:val="006B5695"/>
    <w:rsid w:val="006B7B2E"/>
    <w:rsid w:val="006C26BB"/>
    <w:rsid w:val="006C2F1E"/>
    <w:rsid w:val="006C78EB"/>
    <w:rsid w:val="006D1660"/>
    <w:rsid w:val="006D465A"/>
    <w:rsid w:val="006D53B9"/>
    <w:rsid w:val="006D54E1"/>
    <w:rsid w:val="006D63E5"/>
    <w:rsid w:val="006D76E2"/>
    <w:rsid w:val="006E3911"/>
    <w:rsid w:val="006F1B67"/>
    <w:rsid w:val="006F2732"/>
    <w:rsid w:val="006F4D9C"/>
    <w:rsid w:val="0070091D"/>
    <w:rsid w:val="00702854"/>
    <w:rsid w:val="00703FF5"/>
    <w:rsid w:val="00704F80"/>
    <w:rsid w:val="0070751F"/>
    <w:rsid w:val="007131F6"/>
    <w:rsid w:val="007155DB"/>
    <w:rsid w:val="0071741C"/>
    <w:rsid w:val="00724B86"/>
    <w:rsid w:val="00725597"/>
    <w:rsid w:val="00732F46"/>
    <w:rsid w:val="00742B90"/>
    <w:rsid w:val="0074434D"/>
    <w:rsid w:val="00747801"/>
    <w:rsid w:val="00752711"/>
    <w:rsid w:val="007605AA"/>
    <w:rsid w:val="007605B8"/>
    <w:rsid w:val="007609D2"/>
    <w:rsid w:val="007619F3"/>
    <w:rsid w:val="00762F08"/>
    <w:rsid w:val="00766A03"/>
    <w:rsid w:val="00771B1E"/>
    <w:rsid w:val="00773C95"/>
    <w:rsid w:val="007773E9"/>
    <w:rsid w:val="0078171E"/>
    <w:rsid w:val="0078658E"/>
    <w:rsid w:val="007875DD"/>
    <w:rsid w:val="007920E2"/>
    <w:rsid w:val="00794B11"/>
    <w:rsid w:val="0079566E"/>
    <w:rsid w:val="00795B34"/>
    <w:rsid w:val="00797AB9"/>
    <w:rsid w:val="007A067F"/>
    <w:rsid w:val="007A06CB"/>
    <w:rsid w:val="007A2C74"/>
    <w:rsid w:val="007B1770"/>
    <w:rsid w:val="007B4D3E"/>
    <w:rsid w:val="007B76DF"/>
    <w:rsid w:val="007B7C70"/>
    <w:rsid w:val="007B7DEB"/>
    <w:rsid w:val="007C1AE8"/>
    <w:rsid w:val="007C39A6"/>
    <w:rsid w:val="007D2151"/>
    <w:rsid w:val="007D3B90"/>
    <w:rsid w:val="007D3BEC"/>
    <w:rsid w:val="007D42CC"/>
    <w:rsid w:val="007D56C7"/>
    <w:rsid w:val="007D5DE4"/>
    <w:rsid w:val="007D6C22"/>
    <w:rsid w:val="007D781C"/>
    <w:rsid w:val="007D7C3A"/>
    <w:rsid w:val="007E0777"/>
    <w:rsid w:val="007E1341"/>
    <w:rsid w:val="007E1B41"/>
    <w:rsid w:val="007E1EC4"/>
    <w:rsid w:val="007E30B9"/>
    <w:rsid w:val="007E74F1"/>
    <w:rsid w:val="007F080C"/>
    <w:rsid w:val="007F0F0C"/>
    <w:rsid w:val="007F1288"/>
    <w:rsid w:val="007F1F7E"/>
    <w:rsid w:val="007F1FFF"/>
    <w:rsid w:val="00800A8A"/>
    <w:rsid w:val="0080155C"/>
    <w:rsid w:val="00804B78"/>
    <w:rsid w:val="008052E1"/>
    <w:rsid w:val="008054EA"/>
    <w:rsid w:val="008227EB"/>
    <w:rsid w:val="00822F2C"/>
    <w:rsid w:val="00823DEE"/>
    <w:rsid w:val="00826CCE"/>
    <w:rsid w:val="008305E8"/>
    <w:rsid w:val="00836165"/>
    <w:rsid w:val="0084640C"/>
    <w:rsid w:val="00846E8E"/>
    <w:rsid w:val="00856088"/>
    <w:rsid w:val="0085615E"/>
    <w:rsid w:val="00860826"/>
    <w:rsid w:val="00860E21"/>
    <w:rsid w:val="00863117"/>
    <w:rsid w:val="008636B9"/>
    <w:rsid w:val="0086388B"/>
    <w:rsid w:val="008642E5"/>
    <w:rsid w:val="00870A36"/>
    <w:rsid w:val="00872D93"/>
    <w:rsid w:val="00880470"/>
    <w:rsid w:val="00880D94"/>
    <w:rsid w:val="0088150A"/>
    <w:rsid w:val="008863A5"/>
    <w:rsid w:val="00886F64"/>
    <w:rsid w:val="00891978"/>
    <w:rsid w:val="008924DE"/>
    <w:rsid w:val="008953A3"/>
    <w:rsid w:val="008A3755"/>
    <w:rsid w:val="008A7FFE"/>
    <w:rsid w:val="008B19DC"/>
    <w:rsid w:val="008B264F"/>
    <w:rsid w:val="008B33E8"/>
    <w:rsid w:val="008B5930"/>
    <w:rsid w:val="008B6F83"/>
    <w:rsid w:val="008B7FD8"/>
    <w:rsid w:val="008C058D"/>
    <w:rsid w:val="008C2973"/>
    <w:rsid w:val="008C62A8"/>
    <w:rsid w:val="008C6324"/>
    <w:rsid w:val="008C64C4"/>
    <w:rsid w:val="008C66FA"/>
    <w:rsid w:val="008D414D"/>
    <w:rsid w:val="008D4776"/>
    <w:rsid w:val="008D6088"/>
    <w:rsid w:val="008D7428"/>
    <w:rsid w:val="008D74D5"/>
    <w:rsid w:val="008E3A07"/>
    <w:rsid w:val="008E537B"/>
    <w:rsid w:val="008F29BE"/>
    <w:rsid w:val="008F4AE5"/>
    <w:rsid w:val="008F51EB"/>
    <w:rsid w:val="00900197"/>
    <w:rsid w:val="00902F55"/>
    <w:rsid w:val="009032C5"/>
    <w:rsid w:val="009035C9"/>
    <w:rsid w:val="0090582B"/>
    <w:rsid w:val="009060C0"/>
    <w:rsid w:val="0091239F"/>
    <w:rsid w:val="009133F5"/>
    <w:rsid w:val="0091756F"/>
    <w:rsid w:val="00920A27"/>
    <w:rsid w:val="00920B0F"/>
    <w:rsid w:val="009211B5"/>
    <w:rsid w:val="00921216"/>
    <w:rsid w:val="009216CC"/>
    <w:rsid w:val="00926083"/>
    <w:rsid w:val="00930D08"/>
    <w:rsid w:val="00931466"/>
    <w:rsid w:val="00932D69"/>
    <w:rsid w:val="00935589"/>
    <w:rsid w:val="00937C68"/>
    <w:rsid w:val="00944647"/>
    <w:rsid w:val="00954ABC"/>
    <w:rsid w:val="0095565C"/>
    <w:rsid w:val="00955AE8"/>
    <w:rsid w:val="009568A4"/>
    <w:rsid w:val="009577B1"/>
    <w:rsid w:val="00963B51"/>
    <w:rsid w:val="00964AB6"/>
    <w:rsid w:val="00966F9A"/>
    <w:rsid w:val="0097024D"/>
    <w:rsid w:val="00977B8A"/>
    <w:rsid w:val="00982971"/>
    <w:rsid w:val="009845AD"/>
    <w:rsid w:val="00984835"/>
    <w:rsid w:val="00985682"/>
    <w:rsid w:val="009871A0"/>
    <w:rsid w:val="00992B0F"/>
    <w:rsid w:val="0099328F"/>
    <w:rsid w:val="009933EF"/>
    <w:rsid w:val="00994E27"/>
    <w:rsid w:val="00995BA0"/>
    <w:rsid w:val="0099610B"/>
    <w:rsid w:val="00997153"/>
    <w:rsid w:val="009A130A"/>
    <w:rsid w:val="009A418B"/>
    <w:rsid w:val="009A426F"/>
    <w:rsid w:val="009A42D5"/>
    <w:rsid w:val="009A4473"/>
    <w:rsid w:val="009A5B9F"/>
    <w:rsid w:val="009B05C9"/>
    <w:rsid w:val="009B286C"/>
    <w:rsid w:val="009B351A"/>
    <w:rsid w:val="009B4B4D"/>
    <w:rsid w:val="009C151C"/>
    <w:rsid w:val="009C410E"/>
    <w:rsid w:val="009C440A"/>
    <w:rsid w:val="009C5BBD"/>
    <w:rsid w:val="009D5125"/>
    <w:rsid w:val="009D609B"/>
    <w:rsid w:val="009D60B8"/>
    <w:rsid w:val="009D70AB"/>
    <w:rsid w:val="009D7D4B"/>
    <w:rsid w:val="009E36ED"/>
    <w:rsid w:val="009E3B0B"/>
    <w:rsid w:val="009E3C8C"/>
    <w:rsid w:val="009E3CB3"/>
    <w:rsid w:val="009E6B77"/>
    <w:rsid w:val="009F460A"/>
    <w:rsid w:val="009F500C"/>
    <w:rsid w:val="00A008A7"/>
    <w:rsid w:val="00A012FD"/>
    <w:rsid w:val="00A02EAD"/>
    <w:rsid w:val="00A043FB"/>
    <w:rsid w:val="00A069A5"/>
    <w:rsid w:val="00A06BE4"/>
    <w:rsid w:val="00A0729C"/>
    <w:rsid w:val="00A072BF"/>
    <w:rsid w:val="00A07779"/>
    <w:rsid w:val="00A10EC0"/>
    <w:rsid w:val="00A1166A"/>
    <w:rsid w:val="00A11670"/>
    <w:rsid w:val="00A20B2E"/>
    <w:rsid w:val="00A222E5"/>
    <w:rsid w:val="00A24F33"/>
    <w:rsid w:val="00A25069"/>
    <w:rsid w:val="00A26E6B"/>
    <w:rsid w:val="00A3068F"/>
    <w:rsid w:val="00A3145B"/>
    <w:rsid w:val="00A339D0"/>
    <w:rsid w:val="00A41002"/>
    <w:rsid w:val="00A4201A"/>
    <w:rsid w:val="00A42A02"/>
    <w:rsid w:val="00A528EA"/>
    <w:rsid w:val="00A5465D"/>
    <w:rsid w:val="00A553CE"/>
    <w:rsid w:val="00A55B72"/>
    <w:rsid w:val="00A5677A"/>
    <w:rsid w:val="00A56DCC"/>
    <w:rsid w:val="00A625E8"/>
    <w:rsid w:val="00A63DFF"/>
    <w:rsid w:val="00A6490D"/>
    <w:rsid w:val="00A710BB"/>
    <w:rsid w:val="00A7415D"/>
    <w:rsid w:val="00A74808"/>
    <w:rsid w:val="00A76251"/>
    <w:rsid w:val="00A77B3B"/>
    <w:rsid w:val="00A80363"/>
    <w:rsid w:val="00A80939"/>
    <w:rsid w:val="00A83E9D"/>
    <w:rsid w:val="00A87C05"/>
    <w:rsid w:val="00A9169D"/>
    <w:rsid w:val="00A932EB"/>
    <w:rsid w:val="00A93F68"/>
    <w:rsid w:val="00A95E5E"/>
    <w:rsid w:val="00AA240C"/>
    <w:rsid w:val="00AA2763"/>
    <w:rsid w:val="00AA55B6"/>
    <w:rsid w:val="00AA5D35"/>
    <w:rsid w:val="00AB1B01"/>
    <w:rsid w:val="00AB1C7E"/>
    <w:rsid w:val="00AB49E5"/>
    <w:rsid w:val="00AC044E"/>
    <w:rsid w:val="00AC101C"/>
    <w:rsid w:val="00AD3F5C"/>
    <w:rsid w:val="00AD4005"/>
    <w:rsid w:val="00AD4CF1"/>
    <w:rsid w:val="00AD5988"/>
    <w:rsid w:val="00AD6293"/>
    <w:rsid w:val="00AE16E6"/>
    <w:rsid w:val="00AF1B79"/>
    <w:rsid w:val="00AF7800"/>
    <w:rsid w:val="00B00CF5"/>
    <w:rsid w:val="00B01F78"/>
    <w:rsid w:val="00B072E0"/>
    <w:rsid w:val="00B1007E"/>
    <w:rsid w:val="00B1447B"/>
    <w:rsid w:val="00B175FD"/>
    <w:rsid w:val="00B24486"/>
    <w:rsid w:val="00B253F6"/>
    <w:rsid w:val="00B26675"/>
    <w:rsid w:val="00B27752"/>
    <w:rsid w:val="00B305DB"/>
    <w:rsid w:val="00B332F8"/>
    <w:rsid w:val="00B3492B"/>
    <w:rsid w:val="00B37FD6"/>
    <w:rsid w:val="00B43D24"/>
    <w:rsid w:val="00B4646F"/>
    <w:rsid w:val="00B55C7D"/>
    <w:rsid w:val="00B5686E"/>
    <w:rsid w:val="00B56B8B"/>
    <w:rsid w:val="00B5770E"/>
    <w:rsid w:val="00B63038"/>
    <w:rsid w:val="00B64BD8"/>
    <w:rsid w:val="00B67CED"/>
    <w:rsid w:val="00B701D1"/>
    <w:rsid w:val="00B72C65"/>
    <w:rsid w:val="00B73AF2"/>
    <w:rsid w:val="00B73EDC"/>
    <w:rsid w:val="00B7551A"/>
    <w:rsid w:val="00B773F1"/>
    <w:rsid w:val="00B801EE"/>
    <w:rsid w:val="00B81842"/>
    <w:rsid w:val="00B82D88"/>
    <w:rsid w:val="00B83F53"/>
    <w:rsid w:val="00B86AB1"/>
    <w:rsid w:val="00B959F6"/>
    <w:rsid w:val="00B97B57"/>
    <w:rsid w:val="00BA547C"/>
    <w:rsid w:val="00BB2A06"/>
    <w:rsid w:val="00BB2CBB"/>
    <w:rsid w:val="00BB3F59"/>
    <w:rsid w:val="00BB4198"/>
    <w:rsid w:val="00BC03EE"/>
    <w:rsid w:val="00BC06A0"/>
    <w:rsid w:val="00BC260C"/>
    <w:rsid w:val="00BC59F1"/>
    <w:rsid w:val="00BC7407"/>
    <w:rsid w:val="00BD72FF"/>
    <w:rsid w:val="00BE19C1"/>
    <w:rsid w:val="00BE3649"/>
    <w:rsid w:val="00BE5699"/>
    <w:rsid w:val="00BF3DE1"/>
    <w:rsid w:val="00BF404D"/>
    <w:rsid w:val="00BF4059"/>
    <w:rsid w:val="00BF4843"/>
    <w:rsid w:val="00BF5205"/>
    <w:rsid w:val="00BF6A40"/>
    <w:rsid w:val="00C02BB7"/>
    <w:rsid w:val="00C05132"/>
    <w:rsid w:val="00C07505"/>
    <w:rsid w:val="00C10B68"/>
    <w:rsid w:val="00C12508"/>
    <w:rsid w:val="00C20FB1"/>
    <w:rsid w:val="00C23195"/>
    <w:rsid w:val="00C23728"/>
    <w:rsid w:val="00C3026C"/>
    <w:rsid w:val="00C313A9"/>
    <w:rsid w:val="00C36467"/>
    <w:rsid w:val="00C4094C"/>
    <w:rsid w:val="00C441CF"/>
    <w:rsid w:val="00C45AA2"/>
    <w:rsid w:val="00C46164"/>
    <w:rsid w:val="00C4792C"/>
    <w:rsid w:val="00C55BEF"/>
    <w:rsid w:val="00C60144"/>
    <w:rsid w:val="00C601AF"/>
    <w:rsid w:val="00C61A63"/>
    <w:rsid w:val="00C66296"/>
    <w:rsid w:val="00C66A46"/>
    <w:rsid w:val="00C672E2"/>
    <w:rsid w:val="00C71763"/>
    <w:rsid w:val="00C7394D"/>
    <w:rsid w:val="00C73ACA"/>
    <w:rsid w:val="00C73DB6"/>
    <w:rsid w:val="00C74B09"/>
    <w:rsid w:val="00C759FC"/>
    <w:rsid w:val="00C77282"/>
    <w:rsid w:val="00C84DE5"/>
    <w:rsid w:val="00C86248"/>
    <w:rsid w:val="00C864D9"/>
    <w:rsid w:val="00C906C5"/>
    <w:rsid w:val="00C90B31"/>
    <w:rsid w:val="00CA0D6F"/>
    <w:rsid w:val="00CA4C33"/>
    <w:rsid w:val="00CA6F4A"/>
    <w:rsid w:val="00CA7257"/>
    <w:rsid w:val="00CB4618"/>
    <w:rsid w:val="00CB52C5"/>
    <w:rsid w:val="00CB6427"/>
    <w:rsid w:val="00CB65F0"/>
    <w:rsid w:val="00CC0FBE"/>
    <w:rsid w:val="00CC43B1"/>
    <w:rsid w:val="00CC49BA"/>
    <w:rsid w:val="00CD14E4"/>
    <w:rsid w:val="00CD2119"/>
    <w:rsid w:val="00CD237A"/>
    <w:rsid w:val="00CD36AC"/>
    <w:rsid w:val="00CD6E9A"/>
    <w:rsid w:val="00CE10F6"/>
    <w:rsid w:val="00CE13A3"/>
    <w:rsid w:val="00CE36BC"/>
    <w:rsid w:val="00CE49F9"/>
    <w:rsid w:val="00CF1747"/>
    <w:rsid w:val="00CF2F9C"/>
    <w:rsid w:val="00CF59ED"/>
    <w:rsid w:val="00CF60ED"/>
    <w:rsid w:val="00CF680F"/>
    <w:rsid w:val="00D013F9"/>
    <w:rsid w:val="00D045C0"/>
    <w:rsid w:val="00D05007"/>
    <w:rsid w:val="00D05D74"/>
    <w:rsid w:val="00D06D97"/>
    <w:rsid w:val="00D07823"/>
    <w:rsid w:val="00D20C59"/>
    <w:rsid w:val="00D23323"/>
    <w:rsid w:val="00D2392A"/>
    <w:rsid w:val="00D25B7A"/>
    <w:rsid w:val="00D25FFE"/>
    <w:rsid w:val="00D32C27"/>
    <w:rsid w:val="00D35F02"/>
    <w:rsid w:val="00D37D80"/>
    <w:rsid w:val="00D37D8D"/>
    <w:rsid w:val="00D403F7"/>
    <w:rsid w:val="00D41482"/>
    <w:rsid w:val="00D41925"/>
    <w:rsid w:val="00D43F9A"/>
    <w:rsid w:val="00D4476F"/>
    <w:rsid w:val="00D46E9E"/>
    <w:rsid w:val="00D50573"/>
    <w:rsid w:val="00D54D50"/>
    <w:rsid w:val="00D560B4"/>
    <w:rsid w:val="00D57C7B"/>
    <w:rsid w:val="00D662F8"/>
    <w:rsid w:val="00D66797"/>
    <w:rsid w:val="00D7087C"/>
    <w:rsid w:val="00D70C3C"/>
    <w:rsid w:val="00D71DF7"/>
    <w:rsid w:val="00D729F8"/>
    <w:rsid w:val="00D72BE5"/>
    <w:rsid w:val="00D72E08"/>
    <w:rsid w:val="00D72F6C"/>
    <w:rsid w:val="00D75E0B"/>
    <w:rsid w:val="00D77546"/>
    <w:rsid w:val="00D81462"/>
    <w:rsid w:val="00D82F26"/>
    <w:rsid w:val="00D839FD"/>
    <w:rsid w:val="00D863D0"/>
    <w:rsid w:val="00D86FB9"/>
    <w:rsid w:val="00D87C87"/>
    <w:rsid w:val="00D90BB4"/>
    <w:rsid w:val="00D90E07"/>
    <w:rsid w:val="00D926E6"/>
    <w:rsid w:val="00D932C2"/>
    <w:rsid w:val="00DA006E"/>
    <w:rsid w:val="00DA2CA8"/>
    <w:rsid w:val="00DA488E"/>
    <w:rsid w:val="00DA4AF9"/>
    <w:rsid w:val="00DB0906"/>
    <w:rsid w:val="00DB39CF"/>
    <w:rsid w:val="00DB7256"/>
    <w:rsid w:val="00DC0401"/>
    <w:rsid w:val="00DC20BD"/>
    <w:rsid w:val="00DC3F73"/>
    <w:rsid w:val="00DD0BCD"/>
    <w:rsid w:val="00DD447A"/>
    <w:rsid w:val="00DD44FD"/>
    <w:rsid w:val="00DD53CF"/>
    <w:rsid w:val="00DE359A"/>
    <w:rsid w:val="00DE3B20"/>
    <w:rsid w:val="00DE6C94"/>
    <w:rsid w:val="00DE6FD7"/>
    <w:rsid w:val="00E05E5B"/>
    <w:rsid w:val="00E07EDB"/>
    <w:rsid w:val="00E1147B"/>
    <w:rsid w:val="00E140F8"/>
    <w:rsid w:val="00E17EA6"/>
    <w:rsid w:val="00E23271"/>
    <w:rsid w:val="00E24F80"/>
    <w:rsid w:val="00E259F3"/>
    <w:rsid w:val="00E266FE"/>
    <w:rsid w:val="00E26FE5"/>
    <w:rsid w:val="00E30985"/>
    <w:rsid w:val="00E33238"/>
    <w:rsid w:val="00E36D30"/>
    <w:rsid w:val="00E376B7"/>
    <w:rsid w:val="00E411B9"/>
    <w:rsid w:val="00E42F5D"/>
    <w:rsid w:val="00E4486C"/>
    <w:rsid w:val="00E44A66"/>
    <w:rsid w:val="00E460B6"/>
    <w:rsid w:val="00E50C8A"/>
    <w:rsid w:val="00E511D5"/>
    <w:rsid w:val="00E55431"/>
    <w:rsid w:val="00E60249"/>
    <w:rsid w:val="00E624A4"/>
    <w:rsid w:val="00E62F14"/>
    <w:rsid w:val="00E65269"/>
    <w:rsid w:val="00E661A8"/>
    <w:rsid w:val="00E66ACB"/>
    <w:rsid w:val="00E7253A"/>
    <w:rsid w:val="00E73ECE"/>
    <w:rsid w:val="00E75401"/>
    <w:rsid w:val="00E76A39"/>
    <w:rsid w:val="00E76D66"/>
    <w:rsid w:val="00E839CB"/>
    <w:rsid w:val="00E8472F"/>
    <w:rsid w:val="00E85239"/>
    <w:rsid w:val="00E93373"/>
    <w:rsid w:val="00E93A4A"/>
    <w:rsid w:val="00E94F8C"/>
    <w:rsid w:val="00EA133B"/>
    <w:rsid w:val="00EA1C20"/>
    <w:rsid w:val="00EA796A"/>
    <w:rsid w:val="00EB0A59"/>
    <w:rsid w:val="00EB1856"/>
    <w:rsid w:val="00EB50A1"/>
    <w:rsid w:val="00EC101E"/>
    <w:rsid w:val="00EC50CE"/>
    <w:rsid w:val="00EC5B34"/>
    <w:rsid w:val="00ED021E"/>
    <w:rsid w:val="00ED323C"/>
    <w:rsid w:val="00ED4858"/>
    <w:rsid w:val="00EE1982"/>
    <w:rsid w:val="00EE2D5C"/>
    <w:rsid w:val="00EE4534"/>
    <w:rsid w:val="00EE4ADE"/>
    <w:rsid w:val="00EE4DE8"/>
    <w:rsid w:val="00EE5CB7"/>
    <w:rsid w:val="00EE757E"/>
    <w:rsid w:val="00EF3453"/>
    <w:rsid w:val="00EF3D35"/>
    <w:rsid w:val="00EF483D"/>
    <w:rsid w:val="00EF55BC"/>
    <w:rsid w:val="00F0060F"/>
    <w:rsid w:val="00F024FE"/>
    <w:rsid w:val="00F05AD4"/>
    <w:rsid w:val="00F072F3"/>
    <w:rsid w:val="00F10EB6"/>
    <w:rsid w:val="00F13F07"/>
    <w:rsid w:val="00F140B2"/>
    <w:rsid w:val="00F1577A"/>
    <w:rsid w:val="00F17B7C"/>
    <w:rsid w:val="00F24C36"/>
    <w:rsid w:val="00F25970"/>
    <w:rsid w:val="00F311A9"/>
    <w:rsid w:val="00F35679"/>
    <w:rsid w:val="00F35F1F"/>
    <w:rsid w:val="00F45E5F"/>
    <w:rsid w:val="00F5180D"/>
    <w:rsid w:val="00F52B18"/>
    <w:rsid w:val="00F5734C"/>
    <w:rsid w:val="00F57609"/>
    <w:rsid w:val="00F603BE"/>
    <w:rsid w:val="00F63781"/>
    <w:rsid w:val="00F6595C"/>
    <w:rsid w:val="00F67496"/>
    <w:rsid w:val="00F674FF"/>
    <w:rsid w:val="00F710B4"/>
    <w:rsid w:val="00F73506"/>
    <w:rsid w:val="00F770B3"/>
    <w:rsid w:val="00F776F5"/>
    <w:rsid w:val="00F801BA"/>
    <w:rsid w:val="00F9366A"/>
    <w:rsid w:val="00F946C9"/>
    <w:rsid w:val="00F95E1C"/>
    <w:rsid w:val="00F968BA"/>
    <w:rsid w:val="00F97BB4"/>
    <w:rsid w:val="00FA0EA5"/>
    <w:rsid w:val="00FA74EE"/>
    <w:rsid w:val="00FB2090"/>
    <w:rsid w:val="00FC2814"/>
    <w:rsid w:val="00FC3711"/>
    <w:rsid w:val="00FC46E7"/>
    <w:rsid w:val="00FC5D25"/>
    <w:rsid w:val="00FC60B0"/>
    <w:rsid w:val="00FC62D9"/>
    <w:rsid w:val="00FD0614"/>
    <w:rsid w:val="00FD0D7E"/>
    <w:rsid w:val="00FD3D31"/>
    <w:rsid w:val="00FD4FFB"/>
    <w:rsid w:val="00FE6E13"/>
    <w:rsid w:val="00FE75B4"/>
    <w:rsid w:val="00FE7705"/>
    <w:rsid w:val="00FF15F6"/>
    <w:rsid w:val="00FF1D9B"/>
    <w:rsid w:val="00FF527C"/>
    <w:rsid w:val="00FF65CD"/>
    <w:rsid w:val="00FF6E8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D1AB4B70-B192-48C2-BABB-75427837D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88150A"/>
    <w:pPr>
      <w:pageBreakBefore/>
      <w:numPr>
        <w:numId w:val="6"/>
      </w:numPr>
      <w:spacing w:after="360"/>
      <w:outlineLvl w:val="0"/>
    </w:pPr>
    <w:rPr>
      <w:rFonts w:ascii="Georgia" w:hAnsi="Georgia"/>
      <w:color w:val="23305D"/>
      <w:spacing w:val="-10"/>
      <w:sz w:val="72"/>
    </w:rPr>
  </w:style>
  <w:style w:type="paragraph" w:styleId="Heading2">
    <w:name w:val="heading 2"/>
    <w:basedOn w:val="Normal"/>
    <w:next w:val="Normal"/>
    <w:link w:val="Heading2Char"/>
    <w:qFormat/>
    <w:rsid w:val="00030E84"/>
    <w:pPr>
      <w:keepNext/>
      <w:numPr>
        <w:ilvl w:val="1"/>
        <w:numId w:val="6"/>
      </w:numPr>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numPr>
        <w:ilvl w:val="2"/>
        <w:numId w:val="6"/>
      </w:numPr>
      <w:spacing w:before="360" w:after="180"/>
      <w:ind w:left="992"/>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F072F3"/>
    <w:pPr>
      <w:tabs>
        <w:tab w:val="right" w:pos="8080"/>
      </w:tabs>
      <w:spacing w:before="300"/>
      <w:ind w:left="567" w:right="567" w:hanging="567"/>
    </w:pPr>
    <w:rPr>
      <w:rFonts w:ascii="Segoe UI Semibold" w:hAnsi="Segoe UI Semibold"/>
      <w:sz w:val="24"/>
    </w:rPr>
  </w:style>
  <w:style w:type="paragraph" w:styleId="TOC2">
    <w:name w:val="toc 2"/>
    <w:basedOn w:val="Normal"/>
    <w:next w:val="Normal"/>
    <w:uiPriority w:val="39"/>
    <w:qFormat/>
    <w:rsid w:val="00F072F3"/>
    <w:pPr>
      <w:tabs>
        <w:tab w:val="right" w:pos="8080"/>
      </w:tabs>
      <w:spacing w:before="60"/>
      <w:ind w:left="1134" w:right="567" w:hanging="567"/>
    </w:pPr>
    <w:rPr>
      <w:sz w:val="22"/>
    </w:rPr>
  </w:style>
  <w:style w:type="paragraph" w:styleId="TOC3">
    <w:name w:val="toc 3"/>
    <w:basedOn w:val="Normal"/>
    <w:next w:val="Normal"/>
    <w:uiPriority w:val="39"/>
    <w:rsid w:val="00133362"/>
    <w:pPr>
      <w:tabs>
        <w:tab w:val="right" w:pos="8080"/>
      </w:tabs>
      <w:spacing w:before="120"/>
      <w:ind w:left="1134" w:right="567" w:hanging="1134"/>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uiPriority w:val="29"/>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88150A"/>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Normal"/>
    <w:qFormat/>
    <w:rsid w:val="005A79E5"/>
    <w:pPr>
      <w:spacing w:before="840"/>
      <w:ind w:right="3402"/>
    </w:pPr>
    <w:rPr>
      <w:rFonts w:ascii="Segoe UI Semibold" w:hAnsi="Segoe UI Semibold" w:cs="Segoe UI Semibold"/>
      <w:sz w:val="2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9"/>
    <w:rsid w:val="0088150A"/>
    <w:rPr>
      <w:rFonts w:ascii="Georgia" w:hAnsi="Georgia"/>
      <w:color w:val="23305D"/>
      <w:spacing w:val="-10"/>
      <w:sz w:val="72"/>
      <w:lang w:eastAsia="en-GB"/>
    </w:rPr>
  </w:style>
  <w:style w:type="paragraph" w:styleId="Revision">
    <w:name w:val="Revision"/>
    <w:hidden/>
    <w:rsid w:val="0086388B"/>
    <w:rPr>
      <w:rFonts w:ascii="Calibri" w:eastAsia="Calibri" w:hAnsi="Calibri"/>
      <w:sz w:val="22"/>
      <w:szCs w:val="22"/>
      <w:lang w:val="en-US" w:eastAsia="en-US"/>
    </w:rPr>
  </w:style>
  <w:style w:type="character" w:customStyle="1" w:styleId="Heading2Char">
    <w:name w:val="Heading 2 Char"/>
    <w:link w:val="Heading2"/>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paragraph" w:customStyle="1" w:styleId="Year">
    <w:name w:val="Year"/>
    <w:basedOn w:val="Subhead"/>
    <w:next w:val="Subhead"/>
    <w:qFormat/>
    <w:rsid w:val="0088150A"/>
    <w:pPr>
      <w:pBdr>
        <w:bottom w:val="single" w:sz="24" w:space="6" w:color="auto"/>
      </w:pBdr>
    </w:pPr>
    <w:rPr>
      <w:sz w:val="56"/>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QuoteChar">
    <w:name w:val="Quote Char"/>
    <w:link w:val="Quote"/>
    <w:uiPriority w:val="29"/>
    <w:rsid w:val="00122363"/>
    <w:rPr>
      <w:rFonts w:ascii="Georgia" w:hAnsi="Georgia"/>
      <w:sz w:val="22"/>
      <w:lang w:eastAsia="en-GB"/>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Number">
    <w:name w:val="Number"/>
    <w:basedOn w:val="Normal"/>
    <w:qFormat/>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E30985"/>
    <w:pPr>
      <w:spacing w:after="120"/>
    </w:pPr>
    <w:rPr>
      <w:rFonts w:eastAsia="Arial Unicode MS"/>
    </w:rPr>
  </w:style>
  <w:style w:type="paragraph" w:customStyle="1" w:styleId="Shadedboxtext">
    <w:name w:val="Shaded box text"/>
    <w:basedOn w:val="Normal"/>
    <w:qFormat/>
    <w:rsid w:val="00E30985"/>
    <w:pPr>
      <w:spacing w:line="228" w:lineRule="auto"/>
      <w:ind w:right="142"/>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character" w:customStyle="1" w:styleId="TableTextChar">
    <w:name w:val="TableText Char"/>
    <w:link w:val="TableText"/>
    <w:rsid w:val="0088150A"/>
    <w:rPr>
      <w:rFonts w:ascii="Segoe UI" w:hAnsi="Segoe UI"/>
      <w:sz w:val="18"/>
      <w:lang w:eastAsia="en-GB"/>
    </w:rPr>
  </w:style>
  <w:style w:type="paragraph" w:styleId="BalloonText">
    <w:name w:val="Balloon Text"/>
    <w:basedOn w:val="Normal"/>
    <w:link w:val="BalloonTextChar"/>
    <w:uiPriority w:val="99"/>
    <w:semiHidden/>
    <w:unhideWhenUsed/>
    <w:rsid w:val="00054852"/>
    <w:rPr>
      <w:rFonts w:cs="Segoe UI"/>
      <w:sz w:val="18"/>
      <w:szCs w:val="18"/>
    </w:rPr>
  </w:style>
  <w:style w:type="character" w:customStyle="1" w:styleId="BalloonTextChar">
    <w:name w:val="Balloon Text Char"/>
    <w:basedOn w:val="DefaultParagraphFont"/>
    <w:link w:val="BalloonText"/>
    <w:uiPriority w:val="99"/>
    <w:semiHidden/>
    <w:rsid w:val="00054852"/>
    <w:rPr>
      <w:rFonts w:ascii="Segoe UI" w:hAnsi="Segoe UI" w:cs="Segoe UI"/>
      <w:sz w:val="18"/>
      <w:szCs w:val="18"/>
      <w:lang w:eastAsia="en-GB"/>
    </w:rPr>
  </w:style>
  <w:style w:type="paragraph" w:styleId="ListParagraph">
    <w:name w:val="List Paragraph"/>
    <w:basedOn w:val="Normal"/>
    <w:uiPriority w:val="34"/>
    <w:qFormat/>
    <w:rsid w:val="006762EC"/>
    <w:pPr>
      <w:ind w:left="720"/>
      <w:contextualSpacing/>
    </w:pPr>
  </w:style>
  <w:style w:type="paragraph" w:customStyle="1" w:styleId="CabStandard">
    <w:name w:val="CabStandard"/>
    <w:basedOn w:val="Normal"/>
    <w:rsid w:val="00213B7A"/>
    <w:pPr>
      <w:numPr>
        <w:numId w:val="19"/>
      </w:numPr>
      <w:spacing w:after="240"/>
    </w:pPr>
    <w:rPr>
      <w:rFonts w:ascii="Times New Roman" w:hAnsi="Times New Roman"/>
      <w:sz w:val="24"/>
      <w:lang w:val="en-GB" w:eastAsia="ja-JP"/>
    </w:rPr>
  </w:style>
  <w:style w:type="character" w:styleId="CommentReference">
    <w:name w:val="annotation reference"/>
    <w:basedOn w:val="DefaultParagraphFont"/>
    <w:uiPriority w:val="99"/>
    <w:semiHidden/>
    <w:unhideWhenUsed/>
    <w:rsid w:val="0034561D"/>
    <w:rPr>
      <w:sz w:val="16"/>
      <w:szCs w:val="16"/>
    </w:rPr>
  </w:style>
  <w:style w:type="paragraph" w:styleId="CommentText">
    <w:name w:val="annotation text"/>
    <w:basedOn w:val="Normal"/>
    <w:link w:val="CommentTextChar"/>
    <w:uiPriority w:val="99"/>
    <w:unhideWhenUsed/>
    <w:rsid w:val="0034561D"/>
    <w:rPr>
      <w:sz w:val="20"/>
    </w:rPr>
  </w:style>
  <w:style w:type="character" w:customStyle="1" w:styleId="CommentTextChar">
    <w:name w:val="Comment Text Char"/>
    <w:basedOn w:val="DefaultParagraphFont"/>
    <w:link w:val="CommentText"/>
    <w:uiPriority w:val="99"/>
    <w:rsid w:val="0034561D"/>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34561D"/>
    <w:rPr>
      <w:b/>
      <w:bCs/>
    </w:rPr>
  </w:style>
  <w:style w:type="character" w:customStyle="1" w:styleId="CommentSubjectChar">
    <w:name w:val="Comment Subject Char"/>
    <w:basedOn w:val="CommentTextChar"/>
    <w:link w:val="CommentSubject"/>
    <w:uiPriority w:val="99"/>
    <w:semiHidden/>
    <w:rsid w:val="0034561D"/>
    <w:rPr>
      <w:rFonts w:ascii="Segoe UI" w:hAnsi="Segoe UI"/>
      <w:b/>
      <w:bCs/>
      <w:lang w:eastAsia="en-GB"/>
    </w:rPr>
  </w:style>
  <w:style w:type="paragraph" w:customStyle="1" w:styleId="Default">
    <w:name w:val="Default"/>
    <w:rsid w:val="00CB4618"/>
    <w:pPr>
      <w:autoSpaceDE w:val="0"/>
      <w:autoSpaceDN w:val="0"/>
      <w:adjustRightInd w:val="0"/>
    </w:pPr>
    <w:rPr>
      <w:rFonts w:ascii="Arial" w:eastAsiaTheme="minorHAnsi" w:hAnsi="Arial" w:cs="Arial"/>
      <w:color w:val="000000"/>
      <w:sz w:val="24"/>
      <w:szCs w:val="24"/>
      <w:lang w:eastAsia="en-US"/>
    </w:rPr>
  </w:style>
  <w:style w:type="character" w:styleId="FollowedHyperlink">
    <w:name w:val="FollowedHyperlink"/>
    <w:basedOn w:val="DefaultParagraphFont"/>
    <w:uiPriority w:val="99"/>
    <w:semiHidden/>
    <w:unhideWhenUsed/>
    <w:rsid w:val="009211B5"/>
    <w:rPr>
      <w:color w:val="800080" w:themeColor="followedHyperlink"/>
      <w:u w:val="single"/>
    </w:rPr>
  </w:style>
  <w:style w:type="paragraph" w:styleId="ListBullet">
    <w:name w:val="List Bullet"/>
    <w:basedOn w:val="Normal"/>
    <w:uiPriority w:val="99"/>
    <w:unhideWhenUsed/>
    <w:rsid w:val="00BE19C1"/>
    <w:pPr>
      <w:numPr>
        <w:numId w:val="36"/>
      </w:numPr>
      <w:contextualSpacing/>
    </w:pPr>
  </w:style>
  <w:style w:type="paragraph" w:styleId="TableofFigures">
    <w:name w:val="table of figures"/>
    <w:basedOn w:val="Normal"/>
    <w:next w:val="Normal"/>
    <w:uiPriority w:val="99"/>
    <w:unhideWhenUsed/>
    <w:rsid w:val="00F603BE"/>
  </w:style>
  <w:style w:type="paragraph" w:styleId="Caption">
    <w:name w:val="caption"/>
    <w:basedOn w:val="Normal"/>
    <w:next w:val="Normal"/>
    <w:unhideWhenUsed/>
    <w:qFormat/>
    <w:rsid w:val="00F603BE"/>
    <w:pPr>
      <w:spacing w:after="200"/>
    </w:pPr>
    <w:rPr>
      <w:b/>
      <w:bCs/>
      <w:color w:val="4F81BD" w:themeColor="accent1"/>
      <w:sz w:val="18"/>
      <w:szCs w:val="18"/>
    </w:rPr>
  </w:style>
  <w:style w:type="character" w:styleId="Emphasis">
    <w:name w:val="Emphasis"/>
    <w:basedOn w:val="DefaultParagraphFont"/>
    <w:uiPriority w:val="20"/>
    <w:qFormat/>
    <w:rsid w:val="00A116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667883">
      <w:bodyDiv w:val="1"/>
      <w:marLeft w:val="0"/>
      <w:marRight w:val="0"/>
      <w:marTop w:val="0"/>
      <w:marBottom w:val="0"/>
      <w:divBdr>
        <w:top w:val="none" w:sz="0" w:space="0" w:color="auto"/>
        <w:left w:val="none" w:sz="0" w:space="0" w:color="auto"/>
        <w:bottom w:val="none" w:sz="0" w:space="0" w:color="auto"/>
        <w:right w:val="none" w:sz="0" w:space="0" w:color="auto"/>
      </w:divBdr>
    </w:div>
    <w:div w:id="192114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yperlink" Target="http://www.health.govt.nz/our-work/populations/maori-health/he-korowai-oranga"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image" Target="media/image8.png"/><Relationship Id="rId47" Type="http://schemas.openxmlformats.org/officeDocument/2006/relationships/hyperlink" Target="https://www.dia.govt.nz/diawebsite.nsf/wpg_URL/Resource-material-Information-We-Provide-Gambling-Expenditure-Statistics" TargetMode="External"/><Relationship Id="rId50"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8.xml"/><Relationship Id="rId38" Type="http://schemas.openxmlformats.org/officeDocument/2006/relationships/hyperlink" Target="http://www.health.govt.nz/publication/ala-moui-pathways-pacific-health-and-wellbeing-2014-2018" TargetMode="External"/><Relationship Id="rId46" Type="http://schemas.openxmlformats.org/officeDocument/2006/relationships/hyperlink" Target="http://www.dia.govt.nz"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hyperlink" Target="http://www.health.govt.nz/our-work/populations/maori-health/he-korowai-orang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png"/><Relationship Id="rId32" Type="http://schemas.openxmlformats.org/officeDocument/2006/relationships/header" Target="header12.xml"/><Relationship Id="rId37" Type="http://schemas.openxmlformats.org/officeDocument/2006/relationships/hyperlink" Target="http://www.health.govt.nz/our-work/populations/maori-health/he-korowai-oranga" TargetMode="External"/><Relationship Id="rId40" Type="http://schemas.openxmlformats.org/officeDocument/2006/relationships/hyperlink" Target="http://www.health.govt.nz/our-work/populations/maori-health/he-korowai-oranga" TargetMode="External"/><Relationship Id="rId45" Type="http://schemas.openxmlformats.org/officeDocument/2006/relationships/hyperlink" Target="http://scanmail.trustwave.com/?c=5305&amp;d=-ce52rez9PNiRI84_sVTBe568IrtsuBQOd2L-E_Mow&amp;u=http%3a%2f%2fchoicenotchance%2eorg%2enz"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health.govt.nz/publication/ala-moui-pathways-pacific-health-and-wellbeing-2014-2018" TargetMode="External"/><Relationship Id="rId28" Type="http://schemas.openxmlformats.org/officeDocument/2006/relationships/footer" Target="footer7.xml"/><Relationship Id="rId36" Type="http://schemas.openxmlformats.org/officeDocument/2006/relationships/image" Target="media/image7.gif"/><Relationship Id="rId49" Type="http://schemas.openxmlformats.org/officeDocument/2006/relationships/header" Target="header14.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image" Target="media/image9.png"/><Relationship Id="rId52"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health.govt.nz/our-work/populations/maori-health/he-korowai-oranga" TargetMode="External"/><Relationship Id="rId27" Type="http://schemas.openxmlformats.org/officeDocument/2006/relationships/footer" Target="footer6.xml"/><Relationship Id="rId30" Type="http://schemas.openxmlformats.org/officeDocument/2006/relationships/image" Target="media/image6.gif"/><Relationship Id="rId35" Type="http://schemas.openxmlformats.org/officeDocument/2006/relationships/chart" Target="charts/chart1.xml"/><Relationship Id="rId43" Type="http://schemas.openxmlformats.org/officeDocument/2006/relationships/hyperlink" Target="http://www.health.govt.nz/publication/ala-moui-pathways-pacific-health-and-wellbeing-2014-2018" TargetMode="External"/><Relationship Id="rId48" Type="http://schemas.openxmlformats.org/officeDocument/2006/relationships/hyperlink" Target="http://URL:%20www.gamblingcommission.govt.nz/GCwebsite.nsf/wpg_URL/Reports-Publications-Proposed-Problem-Gambling-Levy-(November-2009)!OpenDocument" TargetMode="External"/><Relationship Id="rId8" Type="http://schemas.openxmlformats.org/officeDocument/2006/relationships/header" Target="header1.xml"/><Relationship Id="rId51" Type="http://schemas.openxmlformats.org/officeDocument/2006/relationships/footer" Target="footer9.xml"/></Relationships>
</file>

<file path=word/_rels/footnotes.xml.rels><?xml version="1.0" encoding="UTF-8" standalone="yes"?>
<Relationships xmlns="http://schemas.openxmlformats.org/package/2006/relationships"><Relationship Id="rId8" Type="http://schemas.openxmlformats.org/officeDocument/2006/relationships/hyperlink" Target="http://www.dia.govt.nz/diawebsite.nsf/wpg_URL/Resource-material-Information-We-Provide-Summary-of-Venues-and-Numbers-by-Territorial-AuthorityDistrict" TargetMode="External"/><Relationship Id="rId3" Type="http://schemas.openxmlformats.org/officeDocument/2006/relationships/hyperlink" Target="https://www.health.govt.nz/publication/gambling-harm-reduction-needs-assessment" TargetMode="External"/><Relationship Id="rId7" Type="http://schemas.openxmlformats.org/officeDocument/2006/relationships/hyperlink" Target="http://www.choicenotchance.org.nz/the-latest-campaign" TargetMode="External"/><Relationship Id="rId2" Type="http://schemas.openxmlformats.org/officeDocument/2006/relationships/hyperlink" Target="https://www.health.govt.nz/our-work/mental-health-and-addictions/problem-gambling/service-user-data/intervention-client-data" TargetMode="External"/><Relationship Id="rId1" Type="http://schemas.openxmlformats.org/officeDocument/2006/relationships/hyperlink" Target="https://www.dia.govt.nz/diawebsite.nsf/wpg_URL/Resource-material-Information-We-Provide-Gambling-Expenditure-Statistics" TargetMode="External"/><Relationship Id="rId6" Type="http://schemas.openxmlformats.org/officeDocument/2006/relationships/hyperlink" Target="https://www.dia.govt.nz/diawebsite.nsf/wpg_URL/Services-Casino-and-Non-Casino-Gaming-Mystery-Shopper-campaign" TargetMode="External"/><Relationship Id="rId5" Type="http://schemas.openxmlformats.org/officeDocument/2006/relationships/hyperlink" Target="http://teraumatatini.com/news/mana-enhancing-mana-protecting-practice" TargetMode="External"/><Relationship Id="rId4" Type="http://schemas.openxmlformats.org/officeDocument/2006/relationships/hyperlink" Target="https://www.otago.ac.nz/wellington/departments/publichealth/research/hirp/otago020194.html" TargetMode="External"/><Relationship Id="rId9" Type="http://schemas.openxmlformats.org/officeDocument/2006/relationships/hyperlink" Target="http://www.dia.govt.nz/diawebsite.nsf/wpg_URL/Resource-material-Information-We-Provide-Gambling-Expenditure-Statistic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kearns\AppData\Local\Temp\notes2518C1\2012-2014%20data%20-%20SP%20CORRECT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2307375772943642E-2"/>
          <c:y val="4.7339596030928986E-2"/>
          <c:w val="0.76832413956729984"/>
          <c:h val="0.80554913592529764"/>
        </c:manualLayout>
      </c:layout>
      <c:barChart>
        <c:barDir val="col"/>
        <c:grouping val="percentStacked"/>
        <c:varyColors val="0"/>
        <c:ser>
          <c:idx val="0"/>
          <c:order val="0"/>
          <c:tx>
            <c:strRef>
              <c:f>'NZDep revised - Mesh and CAU'!$A$60</c:f>
              <c:strCache>
                <c:ptCount val="1"/>
                <c:pt idx="0">
                  <c:v>Low (1-3)</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'NZDep revised - Mesh and CAU'!$B$59:$H$59</c:f>
              <c:strCache>
                <c:ptCount val="7"/>
                <c:pt idx="0">
                  <c:v>as of June 2012</c:v>
                </c:pt>
                <c:pt idx="1">
                  <c:v>as of June 2013</c:v>
                </c:pt>
                <c:pt idx="2">
                  <c:v>as of June 2014</c:v>
                </c:pt>
                <c:pt idx="3">
                  <c:v>as of June 2015</c:v>
                </c:pt>
                <c:pt idx="4">
                  <c:v>as of June 2016</c:v>
                </c:pt>
                <c:pt idx="5">
                  <c:v>as of June 2017</c:v>
                </c:pt>
                <c:pt idx="6">
                  <c:v>as of June 2018</c:v>
                </c:pt>
              </c:strCache>
            </c:strRef>
          </c:cat>
          <c:val>
            <c:numRef>
              <c:f>'NZDep revised - Mesh and CAU'!$B$60:$H$60</c:f>
              <c:numCache>
                <c:formatCode>0.0%</c:formatCode>
                <c:ptCount val="7"/>
                <c:pt idx="0">
                  <c:v>0.13119533527696792</c:v>
                </c:pt>
                <c:pt idx="1">
                  <c:v>0.13059701492537312</c:v>
                </c:pt>
                <c:pt idx="2">
                  <c:v>0.12898089171974522</c:v>
                </c:pt>
                <c:pt idx="3">
                  <c:v>0.12322274881516587</c:v>
                </c:pt>
                <c:pt idx="4">
                  <c:v>0.12622950819672132</c:v>
                </c:pt>
                <c:pt idx="5">
                  <c:v>0.13135593220338984</c:v>
                </c:pt>
                <c:pt idx="6">
                  <c:v>0.1280701754385965</c:v>
                </c:pt>
              </c:numCache>
            </c:numRef>
          </c:val>
        </c:ser>
        <c:ser>
          <c:idx val="1"/>
          <c:order val="1"/>
          <c:tx>
            <c:strRef>
              <c:f>'NZDep revised - Mesh and CAU'!$A$61</c:f>
              <c:strCache>
                <c:ptCount val="1"/>
                <c:pt idx="0">
                  <c:v>Mid (4-7)</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'NZDep revised - Mesh and CAU'!$B$59:$H$59</c:f>
              <c:strCache>
                <c:ptCount val="7"/>
                <c:pt idx="0">
                  <c:v>as of June 2012</c:v>
                </c:pt>
                <c:pt idx="1">
                  <c:v>as of June 2013</c:v>
                </c:pt>
                <c:pt idx="2">
                  <c:v>as of June 2014</c:v>
                </c:pt>
                <c:pt idx="3">
                  <c:v>as of June 2015</c:v>
                </c:pt>
                <c:pt idx="4">
                  <c:v>as of June 2016</c:v>
                </c:pt>
                <c:pt idx="5">
                  <c:v>as of June 2017</c:v>
                </c:pt>
                <c:pt idx="6">
                  <c:v>as of June 2018</c:v>
                </c:pt>
              </c:strCache>
            </c:strRef>
          </c:cat>
          <c:val>
            <c:numRef>
              <c:f>'NZDep revised - Mesh and CAU'!$B$61:$H$61</c:f>
              <c:numCache>
                <c:formatCode>0.0%</c:formatCode>
                <c:ptCount val="7"/>
                <c:pt idx="0">
                  <c:v>0.37755102040816324</c:v>
                </c:pt>
                <c:pt idx="1">
                  <c:v>0.37835820895522387</c:v>
                </c:pt>
                <c:pt idx="2">
                  <c:v>0.38216560509554143</c:v>
                </c:pt>
                <c:pt idx="3">
                  <c:v>0.37677725118483413</c:v>
                </c:pt>
                <c:pt idx="4">
                  <c:v>0.37950819672131147</c:v>
                </c:pt>
                <c:pt idx="5">
                  <c:v>0.37542372881355934</c:v>
                </c:pt>
                <c:pt idx="6">
                  <c:v>0.37631578947368421</c:v>
                </c:pt>
              </c:numCache>
            </c:numRef>
          </c:val>
        </c:ser>
        <c:ser>
          <c:idx val="2"/>
          <c:order val="2"/>
          <c:tx>
            <c:strRef>
              <c:f>'NZDep revised - Mesh and CAU'!$A$62</c:f>
              <c:strCache>
                <c:ptCount val="1"/>
                <c:pt idx="0">
                  <c:v>High (8-10)</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'NZDep revised - Mesh and CAU'!$B$59:$H$59</c:f>
              <c:strCache>
                <c:ptCount val="7"/>
                <c:pt idx="0">
                  <c:v>as of June 2012</c:v>
                </c:pt>
                <c:pt idx="1">
                  <c:v>as of June 2013</c:v>
                </c:pt>
                <c:pt idx="2">
                  <c:v>as of June 2014</c:v>
                </c:pt>
                <c:pt idx="3">
                  <c:v>as of June 2015</c:v>
                </c:pt>
                <c:pt idx="4">
                  <c:v>as of June 2016</c:v>
                </c:pt>
                <c:pt idx="5">
                  <c:v>as of June 2017</c:v>
                </c:pt>
                <c:pt idx="6">
                  <c:v>as of June 2018</c:v>
                </c:pt>
              </c:strCache>
            </c:strRef>
          </c:cat>
          <c:val>
            <c:numRef>
              <c:f>'NZDep revised - Mesh and CAU'!$B$62:$H$62</c:f>
              <c:numCache>
                <c:formatCode>0.0%</c:formatCode>
                <c:ptCount val="7"/>
                <c:pt idx="0">
                  <c:v>0.49125364431486879</c:v>
                </c:pt>
                <c:pt idx="1">
                  <c:v>0.491044776119403</c:v>
                </c:pt>
                <c:pt idx="2">
                  <c:v>0.48885350318471338</c:v>
                </c:pt>
                <c:pt idx="3">
                  <c:v>0.5</c:v>
                </c:pt>
                <c:pt idx="4">
                  <c:v>0.49426229508196723</c:v>
                </c:pt>
                <c:pt idx="5">
                  <c:v>0.49322033898305084</c:v>
                </c:pt>
                <c:pt idx="6">
                  <c:v>0.49561403508771928</c:v>
                </c:pt>
              </c:numCache>
            </c:numRef>
          </c:val>
        </c:ser>
        <c:dLbls>
          <c:dLblPos val="ctr"/>
          <c:showLegendKey val="0"/>
          <c:showVal val="1"/>
          <c:showCatName val="0"/>
          <c:showSerName val="0"/>
          <c:showPercent val="0"/>
          <c:showBubbleSize val="0"/>
        </c:dLbls>
        <c:gapWidth val="50"/>
        <c:overlap val="100"/>
        <c:axId val="370130992"/>
        <c:axId val="370130600"/>
      </c:barChart>
      <c:catAx>
        <c:axId val="37013099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130600"/>
        <c:crosses val="autoZero"/>
        <c:auto val="1"/>
        <c:lblAlgn val="ctr"/>
        <c:lblOffset val="100"/>
        <c:noMultiLvlLbl val="0"/>
      </c:catAx>
      <c:valAx>
        <c:axId val="370130600"/>
        <c:scaling>
          <c:orientation val="minMax"/>
        </c:scaling>
        <c:delete val="0"/>
        <c:axPos val="l"/>
        <c:numFmt formatCode="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130992"/>
        <c:crosses val="autoZero"/>
        <c:crossBetween val="between"/>
      </c:valAx>
      <c:spPr>
        <a:noFill/>
        <a:ln>
          <a:noFill/>
        </a:ln>
        <a:effectLst/>
      </c:spPr>
    </c:plotArea>
    <c:legend>
      <c:legendPos val="r"/>
      <c:layout>
        <c:manualLayout>
          <c:xMode val="edge"/>
          <c:yMode val="edge"/>
          <c:x val="0.84717790875851506"/>
          <c:y val="0.26122532729011483"/>
          <c:w val="0.135962746347458"/>
          <c:h val="0.649722449188965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919D4-12C3-4692-8659-246F2DD63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82</Pages>
  <Words>28048</Words>
  <Characters>159876</Characters>
  <Application>Microsoft Office Word</Application>
  <DocSecurity>0</DocSecurity>
  <Lines>1332</Lines>
  <Paragraphs>375</Paragraphs>
  <ScaleCrop>false</ScaleCrop>
  <HeadingPairs>
    <vt:vector size="2" baseType="variant">
      <vt:variant>
        <vt:lpstr>Title</vt:lpstr>
      </vt:variant>
      <vt:variant>
        <vt:i4>1</vt:i4>
      </vt:variant>
    </vt:vector>
  </HeadingPairs>
  <TitlesOfParts>
    <vt:vector size="1" baseType="lpstr">
      <vt:lpstr>Strategy to prevent and minimise gambling harm 2019-20 to 2021-22</vt:lpstr>
    </vt:vector>
  </TitlesOfParts>
  <Company>Microsoft</Company>
  <LinksUpToDate>false</LinksUpToDate>
  <CharactersWithSpaces>187549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to prevent and minimise gambling harm 2019-20 to 2021-22</dc:title>
  <dc:creator>Ministry of Health</dc:creator>
  <cp:lastModifiedBy>Berni Marwick</cp:lastModifiedBy>
  <cp:revision>2</cp:revision>
  <cp:lastPrinted>2019-05-20T04:37:00Z</cp:lastPrinted>
  <dcterms:created xsi:type="dcterms:W3CDTF">2019-05-27T01:19:00Z</dcterms:created>
  <dcterms:modified xsi:type="dcterms:W3CDTF">2019-05-27T01:19:00Z</dcterms:modified>
</cp:coreProperties>
</file>